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sz w:val="16"/>
        </w:rPr>
        <w:id w:val="-1857033747"/>
        <w:lock w:val="sdtContentLocked"/>
        <w:placeholder>
          <w:docPart w:val="D0C69DABFD88438C9E220A3559B6698A"/>
        </w:placeholder>
        <w:group/>
      </w:sdtPr>
      <w:sdtEndPr>
        <w:rPr>
          <w:b w:val="0"/>
        </w:rPr>
      </w:sdtEndPr>
      <w:sdtContent>
        <w:p w14:paraId="54824883" w14:textId="77777777" w:rsidR="00796BF0" w:rsidRPr="00CC7DDA" w:rsidRDefault="00796BF0" w:rsidP="00796BF0">
          <w:pPr>
            <w:framePr w:w="3340" w:h="1366" w:hRule="exact" w:hSpace="181" w:wrap="around" w:vAnchor="page" w:hAnchor="page" w:x="7536" w:y="2048" w:anchorLock="1"/>
            <w:tabs>
              <w:tab w:val="left" w:pos="142"/>
              <w:tab w:val="left" w:pos="426"/>
            </w:tabs>
            <w:rPr>
              <w:rFonts w:ascii="Tahoma" w:hAnsi="Tahoma" w:cs="Tahoma"/>
              <w:b/>
              <w:sz w:val="16"/>
            </w:rPr>
          </w:pPr>
          <w:r w:rsidRPr="00CC7DDA">
            <w:rPr>
              <w:rFonts w:ascii="Tahoma" w:hAnsi="Tahoma" w:cs="Tahoma"/>
              <w:b/>
              <w:sz w:val="16"/>
            </w:rPr>
            <w:t xml:space="preserve">BITZER </w:t>
          </w:r>
          <w:r>
            <w:rPr>
              <w:rFonts w:ascii="Tahoma" w:hAnsi="Tahoma" w:cs="Tahoma"/>
              <w:b/>
              <w:sz w:val="16"/>
            </w:rPr>
            <w:t>SE</w:t>
          </w:r>
        </w:p>
        <w:p w14:paraId="25249EEF" w14:textId="77777777" w:rsidR="00796BF0" w:rsidRPr="00FF34A4" w:rsidRDefault="00796BF0" w:rsidP="00796BF0">
          <w:pPr>
            <w:framePr w:w="3340" w:h="1366" w:hRule="exact" w:hSpace="181" w:wrap="around" w:vAnchor="page" w:hAnchor="page" w:x="7536" w:y="2048" w:anchorLock="1"/>
            <w:tabs>
              <w:tab w:val="left" w:pos="142"/>
              <w:tab w:val="left" w:pos="426"/>
            </w:tabs>
            <w:rPr>
              <w:rFonts w:ascii="Tahoma" w:hAnsi="Tahoma" w:cs="Tahoma"/>
              <w:sz w:val="16"/>
            </w:rPr>
          </w:pPr>
          <w:r w:rsidRPr="00FF34A4">
            <w:rPr>
              <w:rFonts w:ascii="Tahoma" w:hAnsi="Tahoma" w:cs="Tahoma"/>
              <w:sz w:val="16"/>
            </w:rPr>
            <w:t>Peter-Schaufler-Platz 1</w:t>
          </w:r>
        </w:p>
        <w:p w14:paraId="08F20C65" w14:textId="77777777" w:rsidR="00796BF0" w:rsidRPr="007209B4" w:rsidRDefault="00796BF0" w:rsidP="00796BF0">
          <w:pPr>
            <w:framePr w:w="3340" w:h="1366" w:hRule="exact" w:hSpace="181" w:wrap="around" w:vAnchor="page" w:hAnchor="page" w:x="7536" w:y="2048" w:anchorLock="1"/>
            <w:tabs>
              <w:tab w:val="left" w:pos="426"/>
            </w:tabs>
            <w:rPr>
              <w:rFonts w:ascii="Tahoma" w:hAnsi="Tahoma" w:cs="Tahoma"/>
              <w:sz w:val="16"/>
            </w:rPr>
          </w:pPr>
          <w:r w:rsidRPr="007209B4">
            <w:rPr>
              <w:rFonts w:ascii="Tahoma" w:hAnsi="Tahoma" w:cs="Tahoma"/>
              <w:sz w:val="16"/>
            </w:rPr>
            <w:t>71065 Sindelfingen // Germany</w:t>
          </w:r>
        </w:p>
        <w:p w14:paraId="48D242CD" w14:textId="77777777" w:rsidR="00796BF0" w:rsidRPr="007209B4" w:rsidRDefault="00796BF0" w:rsidP="00796BF0">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Tel</w:t>
          </w:r>
          <w:r w:rsidRPr="007209B4">
            <w:rPr>
              <w:rFonts w:ascii="Tahoma" w:hAnsi="Tahoma" w:cs="Tahoma"/>
              <w:sz w:val="16"/>
            </w:rPr>
            <w:tab/>
            <w:t>+49 7031 932-0</w:t>
          </w:r>
        </w:p>
        <w:p w14:paraId="45599095" w14:textId="77777777" w:rsidR="00796BF0" w:rsidRPr="00B26433" w:rsidRDefault="00796BF0" w:rsidP="00796BF0">
          <w:pPr>
            <w:framePr w:w="3340" w:h="1366" w:hRule="exact" w:hSpace="181" w:wrap="around" w:vAnchor="page" w:hAnchor="page" w:x="7536" w:y="2048" w:anchorLock="1"/>
            <w:tabs>
              <w:tab w:val="left" w:pos="426"/>
            </w:tabs>
            <w:rPr>
              <w:rFonts w:ascii="Tahoma" w:hAnsi="Tahoma" w:cs="Tahoma"/>
            </w:rPr>
          </w:pPr>
          <w:r w:rsidRPr="00B26433">
            <w:rPr>
              <w:rFonts w:ascii="Tahoma" w:hAnsi="Tahoma" w:cs="Tahoma"/>
              <w:sz w:val="16"/>
            </w:rPr>
            <w:t>bitzer@bitzer.de</w:t>
          </w:r>
          <w:r w:rsidRPr="00B26433">
            <w:rPr>
              <w:rFonts w:ascii="Tahoma" w:hAnsi="Tahoma" w:cs="Tahoma"/>
              <w:sz w:val="16"/>
              <w:szCs w:val="16"/>
            </w:rPr>
            <w:t xml:space="preserve"> // </w:t>
          </w:r>
          <w:r w:rsidRPr="00B26433">
            <w:rPr>
              <w:rFonts w:ascii="Tahoma" w:hAnsi="Tahoma" w:cs="Tahoma"/>
              <w:sz w:val="16"/>
            </w:rPr>
            <w:t>www.bitzer.de</w:t>
          </w:r>
        </w:p>
      </w:sdtContent>
    </w:sdt>
    <w:sdt>
      <w:sdtPr>
        <w:rPr>
          <w:rFonts w:ascii="Tahoma" w:hAnsi="Tahoma" w:cs="Tahoma"/>
          <w:sz w:val="22"/>
          <w:szCs w:val="22"/>
        </w:rPr>
        <w:id w:val="230359698"/>
        <w:lock w:val="contentLocked"/>
        <w:placeholder>
          <w:docPart w:val="DB0CF9C769D94FDE89D746DDCA7A87A5"/>
        </w:placeholder>
        <w:group/>
      </w:sdtPr>
      <w:sdtEndPr/>
      <w:sdtContent>
        <w:sdt>
          <w:sdtPr>
            <w:rPr>
              <w:rFonts w:ascii="Tahoma" w:hAnsi="Tahoma" w:cs="Tahoma"/>
              <w:sz w:val="22"/>
              <w:szCs w:val="22"/>
            </w:rPr>
            <w:id w:val="-1481069674"/>
            <w:lock w:val="sdtContentLocked"/>
            <w:placeholder>
              <w:docPart w:val="DB0CF9C769D94FDE89D746DDCA7A87A5"/>
            </w:placeholder>
            <w:group/>
          </w:sdtPr>
          <w:sdtEndPr/>
          <w:sdtContent>
            <w:p w14:paraId="180C835E" w14:textId="77777777" w:rsidR="00E63021" w:rsidRPr="00B26433" w:rsidRDefault="00E63021" w:rsidP="00E63021">
              <w:pPr>
                <w:rPr>
                  <w:rFonts w:ascii="Tahoma" w:hAnsi="Tahoma" w:cs="Tahoma"/>
                  <w:sz w:val="22"/>
                  <w:szCs w:val="22"/>
                </w:rPr>
              </w:pPr>
            </w:p>
            <w:p w14:paraId="33185B75" w14:textId="77777777" w:rsidR="00E63021" w:rsidRPr="00B26433" w:rsidRDefault="00E63021" w:rsidP="00E63021">
              <w:pPr>
                <w:rPr>
                  <w:rFonts w:ascii="Tahoma" w:hAnsi="Tahoma" w:cs="Tahoma"/>
                  <w:sz w:val="22"/>
                  <w:szCs w:val="22"/>
                </w:rPr>
              </w:pPr>
            </w:p>
            <w:p w14:paraId="487954B8" w14:textId="77777777" w:rsidR="00E63021" w:rsidRPr="00B26433" w:rsidRDefault="00E63021" w:rsidP="00E63021">
              <w:pPr>
                <w:rPr>
                  <w:rFonts w:ascii="Tahoma" w:hAnsi="Tahoma" w:cs="Tahoma"/>
                  <w:sz w:val="22"/>
                  <w:szCs w:val="22"/>
                </w:rPr>
              </w:pPr>
            </w:p>
            <w:p w14:paraId="71B4000A" w14:textId="77777777" w:rsidR="00E63021" w:rsidRPr="00B26433" w:rsidRDefault="00E63021" w:rsidP="00E63021">
              <w:pPr>
                <w:rPr>
                  <w:rFonts w:ascii="Tahoma" w:hAnsi="Tahoma" w:cs="Tahoma"/>
                  <w:sz w:val="22"/>
                  <w:szCs w:val="22"/>
                </w:rPr>
              </w:pPr>
            </w:p>
            <w:tbl>
              <w:tblPr>
                <w:tblW w:w="0" w:type="auto"/>
                <w:tblInd w:w="106" w:type="dxa"/>
                <w:tblCellMar>
                  <w:left w:w="0" w:type="dxa"/>
                  <w:right w:w="70" w:type="dxa"/>
                </w:tblCellMar>
                <w:tblLook w:val="0000" w:firstRow="0" w:lastRow="0" w:firstColumn="0" w:lastColumn="0" w:noHBand="0" w:noVBand="0"/>
              </w:tblPr>
              <w:tblGrid>
                <w:gridCol w:w="1185"/>
                <w:gridCol w:w="96"/>
                <w:gridCol w:w="785"/>
                <w:gridCol w:w="1684"/>
              </w:tblGrid>
              <w:tr w:rsidR="007108D1" w:rsidRPr="00D33B49" w14:paraId="5B15C074" w14:textId="77777777">
                <w:trPr>
                  <w:trHeight w:val="182"/>
                </w:trPr>
                <w:tc>
                  <w:tcPr>
                    <w:tcW w:w="2066" w:type="dxa"/>
                    <w:gridSpan w:val="3"/>
                  </w:tcPr>
                  <w:p w14:paraId="217280BD" w14:textId="77777777" w:rsidR="007108D1" w:rsidRPr="00D33B49" w:rsidRDefault="007108D1">
                    <w:pPr>
                      <w:framePr w:w="3856" w:h="1372" w:hRule="exact" w:hSpace="181" w:wrap="around" w:vAnchor="page" w:hAnchor="page" w:x="7429" w:y="3584" w:anchorLock="1"/>
                      <w:rPr>
                        <w:rFonts w:ascii="Tahoma" w:hAnsi="Tahoma" w:cs="Tahoma"/>
                        <w:sz w:val="16"/>
                        <w:szCs w:val="16"/>
                      </w:rPr>
                    </w:pPr>
                    <w:bookmarkStart w:id="0" w:name="Adresse"/>
                    <w:bookmarkStart w:id="1" w:name="Text1"/>
                    <w:bookmarkEnd w:id="0"/>
                    <w:bookmarkEnd w:id="1"/>
                    <w:r w:rsidRPr="00D33B49">
                      <w:rPr>
                        <w:rFonts w:ascii="Tahoma" w:hAnsi="Tahoma" w:cs="Tahoma"/>
                        <w:sz w:val="16"/>
                        <w:szCs w:val="16"/>
                      </w:rPr>
                      <w:t>Unser Zeichen</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Our Ref.</w:t>
                    </w:r>
                  </w:p>
                </w:tc>
                <w:tc>
                  <w:tcPr>
                    <w:tcW w:w="1684" w:type="dxa"/>
                  </w:tcPr>
                  <w:p w14:paraId="40C184F0" w14:textId="77777777" w:rsidR="007108D1" w:rsidRPr="00D33B49" w:rsidRDefault="007108D1">
                    <w:pPr>
                      <w:framePr w:w="3856" w:h="1372" w:hRule="exact" w:hSpace="181" w:wrap="around" w:vAnchor="page" w:hAnchor="page" w:x="7429" w:y="3584" w:anchorLock="1"/>
                      <w:jc w:val="right"/>
                      <w:rPr>
                        <w:rFonts w:ascii="Tahoma" w:hAnsi="Tahoma" w:cs="Tahoma"/>
                        <w:sz w:val="16"/>
                        <w:szCs w:val="16"/>
                      </w:rPr>
                    </w:pPr>
                    <w:bookmarkStart w:id="2" w:name="UnserZeichen"/>
                    <w:bookmarkEnd w:id="2"/>
                  </w:p>
                </w:tc>
              </w:tr>
              <w:tr w:rsidR="007108D1" w:rsidRPr="00D33B49" w14:paraId="48D42F0A" w14:textId="77777777">
                <w:trPr>
                  <w:trHeight w:val="113"/>
                </w:trPr>
                <w:tc>
                  <w:tcPr>
                    <w:tcW w:w="3750" w:type="dxa"/>
                    <w:gridSpan w:val="4"/>
                  </w:tcPr>
                  <w:p w14:paraId="6C85171A" w14:textId="77777777" w:rsidR="007108D1" w:rsidRPr="00D33B49" w:rsidRDefault="007108D1">
                    <w:pPr>
                      <w:framePr w:w="3856" w:h="1372" w:hRule="exact" w:hSpace="181" w:wrap="around" w:vAnchor="page" w:hAnchor="page" w:x="7429" w:y="3584" w:anchorLock="1"/>
                      <w:rPr>
                        <w:rFonts w:ascii="Tahoma" w:hAnsi="Tahoma" w:cs="Tahoma"/>
                        <w:sz w:val="12"/>
                        <w:szCs w:val="12"/>
                      </w:rPr>
                    </w:pPr>
                  </w:p>
                </w:tc>
              </w:tr>
              <w:tr w:rsidR="007108D1" w:rsidRPr="00D33B49" w14:paraId="1E988F32" w14:textId="77777777">
                <w:trPr>
                  <w:trHeight w:val="181"/>
                </w:trPr>
                <w:tc>
                  <w:tcPr>
                    <w:tcW w:w="1281" w:type="dxa"/>
                    <w:gridSpan w:val="2"/>
                  </w:tcPr>
                  <w:p w14:paraId="0F1D705F" w14:textId="77777777" w:rsidR="007108D1" w:rsidRPr="00D33B49" w:rsidRDefault="007108D1">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Abs.</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Sender</w:t>
                    </w:r>
                  </w:p>
                </w:tc>
                <w:tc>
                  <w:tcPr>
                    <w:tcW w:w="2469" w:type="dxa"/>
                    <w:gridSpan w:val="2"/>
                  </w:tcPr>
                  <w:p w14:paraId="776CA8E7" w14:textId="77777777" w:rsidR="007108D1" w:rsidRPr="00D33B49" w:rsidRDefault="007108D1">
                    <w:pPr>
                      <w:framePr w:w="3856" w:h="1372" w:hRule="exact" w:hSpace="181" w:wrap="around" w:vAnchor="page" w:hAnchor="page" w:x="7429" w:y="3584" w:anchorLock="1"/>
                      <w:jc w:val="right"/>
                      <w:rPr>
                        <w:rFonts w:ascii="Tahoma" w:hAnsi="Tahoma" w:cs="Tahoma"/>
                        <w:sz w:val="16"/>
                        <w:szCs w:val="16"/>
                      </w:rPr>
                    </w:pPr>
                    <w:bookmarkStart w:id="3" w:name="Absender"/>
                    <w:bookmarkEnd w:id="3"/>
                    <w:r>
                      <w:rPr>
                        <w:rFonts w:ascii="Tahoma" w:hAnsi="Tahoma" w:cs="Tahoma"/>
                        <w:sz w:val="16"/>
                        <w:szCs w:val="16"/>
                      </w:rPr>
                      <w:t>Stefanie Holst</w:t>
                    </w:r>
                  </w:p>
                </w:tc>
              </w:tr>
              <w:tr w:rsidR="007108D1" w:rsidRPr="007108D1" w14:paraId="0D8C3E0E" w14:textId="77777777">
                <w:trPr>
                  <w:trHeight w:val="181"/>
                </w:trPr>
                <w:tc>
                  <w:tcPr>
                    <w:tcW w:w="1185" w:type="dxa"/>
                  </w:tcPr>
                  <w:p w14:paraId="5DBA2C95" w14:textId="77777777" w:rsidR="007108D1" w:rsidRPr="00D33B49" w:rsidRDefault="007108D1">
                    <w:pPr>
                      <w:framePr w:w="3856" w:h="1372" w:hRule="exact" w:hSpace="181" w:wrap="around" w:vAnchor="page" w:hAnchor="page" w:x="7429" w:y="3584" w:anchorLock="1"/>
                      <w:rPr>
                        <w:rFonts w:ascii="Tahoma" w:hAnsi="Tahoma" w:cs="Tahoma"/>
                        <w:sz w:val="16"/>
                        <w:szCs w:val="16"/>
                      </w:rPr>
                    </w:pPr>
                  </w:p>
                </w:tc>
                <w:tc>
                  <w:tcPr>
                    <w:tcW w:w="2565" w:type="dxa"/>
                    <w:gridSpan w:val="3"/>
                    <w:tcMar>
                      <w:right w:w="74" w:type="dxa"/>
                    </w:tcMar>
                  </w:tcPr>
                  <w:p w14:paraId="4A4D2B8B" w14:textId="77777777" w:rsidR="007108D1" w:rsidRPr="005A1978" w:rsidRDefault="007108D1">
                    <w:pPr>
                      <w:framePr w:w="3856" w:h="1372" w:hRule="exact" w:hSpace="181" w:wrap="around" w:vAnchor="page" w:hAnchor="page" w:x="7429" w:y="3584" w:anchorLock="1"/>
                      <w:jc w:val="right"/>
                      <w:rPr>
                        <w:rFonts w:ascii="Tahoma" w:hAnsi="Tahoma" w:cs="Tahoma"/>
                        <w:sz w:val="16"/>
                        <w:szCs w:val="16"/>
                        <w:lang w:val="en-US"/>
                      </w:rPr>
                    </w:pPr>
                    <w:bookmarkStart w:id="4" w:name="Abteilung"/>
                    <w:bookmarkEnd w:id="4"/>
                    <w:r w:rsidRPr="007267DC">
                      <w:rPr>
                        <w:rFonts w:ascii="Tahoma" w:hAnsi="Tahoma" w:cs="Tahoma"/>
                        <w:spacing w:val="-4"/>
                        <w:sz w:val="16"/>
                        <w:szCs w:val="16"/>
                        <w:lang w:val="en-US"/>
                      </w:rPr>
                      <w:t>Head of Corporate Communications</w:t>
                    </w:r>
                    <w:r>
                      <w:rPr>
                        <w:rFonts w:ascii="Tahoma" w:hAnsi="Tahoma" w:cs="Tahoma"/>
                        <w:sz w:val="16"/>
                        <w:szCs w:val="16"/>
                        <w:lang w:val="en-US"/>
                      </w:rPr>
                      <w:t xml:space="preserve"> </w:t>
                    </w:r>
                    <w:r w:rsidRPr="005A1978">
                      <w:rPr>
                        <w:rFonts w:ascii="Tahoma" w:hAnsi="Tahoma" w:cs="Tahoma"/>
                        <w:sz w:val="16"/>
                        <w:szCs w:val="16"/>
                        <w:lang w:val="en-US"/>
                      </w:rPr>
                      <w:t xml:space="preserve">   </w:t>
                    </w:r>
                    <w:r w:rsidRPr="005A1978">
                      <w:rPr>
                        <w:rFonts w:ascii="Tahoma" w:hAnsi="Tahoma" w:cs="Tahoma"/>
                        <w:sz w:val="16"/>
                        <w:szCs w:val="16"/>
                        <w:lang w:val="en-US"/>
                      </w:rPr>
                      <w:br/>
                      <w:t xml:space="preserve"> </w:t>
                    </w:r>
                    <w:r>
                      <w:rPr>
                        <w:rFonts w:ascii="Tahoma" w:hAnsi="Tahoma" w:cs="Tahoma"/>
                        <w:sz w:val="16"/>
                        <w:szCs w:val="16"/>
                        <w:lang w:val="en-US"/>
                      </w:rPr>
                      <w:t>and Marketing Content</w:t>
                    </w:r>
                    <w:r w:rsidRPr="005A1978">
                      <w:rPr>
                        <w:rFonts w:ascii="Tahoma" w:hAnsi="Tahoma" w:cs="Tahoma"/>
                        <w:sz w:val="16"/>
                        <w:szCs w:val="16"/>
                        <w:lang w:val="en-US"/>
                      </w:rPr>
                      <w:t xml:space="preserve"> </w:t>
                    </w:r>
                  </w:p>
                </w:tc>
              </w:tr>
              <w:tr w:rsidR="007108D1" w:rsidRPr="00D33B49" w14:paraId="5B6804EA" w14:textId="77777777">
                <w:trPr>
                  <w:trHeight w:val="181"/>
                </w:trPr>
                <w:tc>
                  <w:tcPr>
                    <w:tcW w:w="1281" w:type="dxa"/>
                    <w:gridSpan w:val="2"/>
                  </w:tcPr>
                  <w:p w14:paraId="5835484C" w14:textId="77777777" w:rsidR="007108D1" w:rsidRPr="00D33B49" w:rsidRDefault="007108D1">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T</w:t>
                    </w:r>
                    <w:r w:rsidRPr="00D33B49">
                      <w:rPr>
                        <w:rFonts w:ascii="Tahoma" w:hAnsi="Tahoma" w:cs="Tahoma"/>
                        <w:sz w:val="16"/>
                        <w:szCs w:val="16"/>
                      </w:rPr>
                      <w:t>el</w:t>
                    </w:r>
                    <w:r w:rsidRPr="00372270">
                      <w:rPr>
                        <w:rFonts w:ascii="Tahoma" w:hAnsi="Tahoma" w:cs="Tahoma"/>
                        <w:w w:val="80"/>
                        <w:sz w:val="16"/>
                        <w:szCs w:val="16"/>
                      </w:rPr>
                      <w:t xml:space="preserve">  </w:t>
                    </w:r>
                    <w:r w:rsidRPr="00D33B49">
                      <w:rPr>
                        <w:rFonts w:ascii="Tahoma" w:hAnsi="Tahoma" w:cs="Tahoma"/>
                        <w:sz w:val="16"/>
                        <w:szCs w:val="16"/>
                      </w:rPr>
                      <w:t>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tcPr>
                  <w:p w14:paraId="0F2361B5" w14:textId="77777777" w:rsidR="007108D1" w:rsidRPr="00D33B49" w:rsidRDefault="007108D1">
                    <w:pPr>
                      <w:framePr w:w="3856" w:h="1372" w:hRule="exact" w:hSpace="181" w:wrap="around" w:vAnchor="page" w:hAnchor="page" w:x="7429" w:y="3584" w:anchorLock="1"/>
                      <w:jc w:val="right"/>
                      <w:rPr>
                        <w:rFonts w:ascii="Tahoma" w:hAnsi="Tahoma" w:cs="Tahoma"/>
                        <w:sz w:val="16"/>
                        <w:szCs w:val="16"/>
                      </w:rPr>
                    </w:pPr>
                    <w:bookmarkStart w:id="5" w:name="Durchwahl"/>
                    <w:bookmarkEnd w:id="5"/>
                    <w:r>
                      <w:rPr>
                        <w:rFonts w:ascii="Tahoma" w:hAnsi="Tahoma" w:cs="Tahoma"/>
                        <w:sz w:val="16"/>
                        <w:szCs w:val="16"/>
                      </w:rPr>
                      <w:t>+49 7031 932-4327</w:t>
                    </w:r>
                  </w:p>
                </w:tc>
              </w:tr>
              <w:tr w:rsidR="007108D1" w:rsidRPr="00D33B49" w14:paraId="1E815623" w14:textId="77777777">
                <w:trPr>
                  <w:trHeight w:val="181"/>
                </w:trPr>
                <w:tc>
                  <w:tcPr>
                    <w:tcW w:w="1281" w:type="dxa"/>
                    <w:gridSpan w:val="2"/>
                  </w:tcPr>
                  <w:p w14:paraId="40916CA2" w14:textId="77777777" w:rsidR="007108D1" w:rsidRPr="00D33B49" w:rsidRDefault="007108D1">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E-Mail</w:t>
                    </w:r>
                  </w:p>
                </w:tc>
                <w:tc>
                  <w:tcPr>
                    <w:tcW w:w="2469" w:type="dxa"/>
                    <w:gridSpan w:val="2"/>
                  </w:tcPr>
                  <w:p w14:paraId="260164B6" w14:textId="77777777" w:rsidR="007108D1" w:rsidRPr="00D33B49" w:rsidRDefault="007108D1">
                    <w:pPr>
                      <w:framePr w:w="3856" w:h="1372" w:hRule="exact" w:hSpace="181" w:wrap="around" w:vAnchor="page" w:hAnchor="page" w:x="7429" w:y="3584" w:anchorLock="1"/>
                      <w:jc w:val="right"/>
                      <w:rPr>
                        <w:rFonts w:ascii="Tahoma" w:hAnsi="Tahoma" w:cs="Tahoma"/>
                        <w:sz w:val="16"/>
                        <w:szCs w:val="16"/>
                      </w:rPr>
                    </w:pPr>
                    <w:bookmarkStart w:id="6" w:name="eMail"/>
                    <w:bookmarkEnd w:id="6"/>
                    <w:r>
                      <w:rPr>
                        <w:rFonts w:ascii="Tahoma" w:hAnsi="Tahoma" w:cs="Tahoma"/>
                        <w:sz w:val="16"/>
                        <w:szCs w:val="16"/>
                      </w:rPr>
                      <w:t>stefanie.holst@bitzer.de</w:t>
                    </w:r>
                  </w:p>
                </w:tc>
              </w:tr>
              <w:tr w:rsidR="007108D1" w:rsidRPr="00D33B49" w14:paraId="7F9636AE" w14:textId="77777777">
                <w:trPr>
                  <w:trHeight w:val="113"/>
                </w:trPr>
                <w:tc>
                  <w:tcPr>
                    <w:tcW w:w="1281" w:type="dxa"/>
                    <w:gridSpan w:val="2"/>
                  </w:tcPr>
                  <w:p w14:paraId="62D24325" w14:textId="77777777" w:rsidR="007108D1" w:rsidRPr="00D33B49" w:rsidRDefault="007108D1">
                    <w:pPr>
                      <w:framePr w:w="3856" w:h="1372" w:hRule="exact" w:hSpace="181" w:wrap="around" w:vAnchor="page" w:hAnchor="page" w:x="7429" w:y="3584" w:anchorLock="1"/>
                      <w:ind w:left="-42"/>
                      <w:rPr>
                        <w:rFonts w:ascii="Tahoma" w:hAnsi="Tahoma" w:cs="Tahoma"/>
                        <w:sz w:val="12"/>
                        <w:szCs w:val="12"/>
                      </w:rPr>
                    </w:pPr>
                  </w:p>
                </w:tc>
                <w:tc>
                  <w:tcPr>
                    <w:tcW w:w="2469" w:type="dxa"/>
                    <w:gridSpan w:val="2"/>
                  </w:tcPr>
                  <w:p w14:paraId="3766D8C1" w14:textId="77777777" w:rsidR="007108D1" w:rsidRPr="00D33B49" w:rsidRDefault="007108D1">
                    <w:pPr>
                      <w:framePr w:w="3856" w:h="1372" w:hRule="exact" w:hSpace="181" w:wrap="around" w:vAnchor="page" w:hAnchor="page" w:x="7429" w:y="3584" w:anchorLock="1"/>
                      <w:ind w:left="-42"/>
                      <w:jc w:val="right"/>
                      <w:rPr>
                        <w:rFonts w:ascii="Tahoma" w:hAnsi="Tahoma" w:cs="Tahoma"/>
                        <w:sz w:val="12"/>
                        <w:szCs w:val="12"/>
                      </w:rPr>
                    </w:pPr>
                  </w:p>
                </w:tc>
              </w:tr>
            </w:tbl>
            <w:p w14:paraId="40BCB7DB" w14:textId="77777777" w:rsidR="007108D1" w:rsidRPr="00D33B49" w:rsidRDefault="007108D1" w:rsidP="007108D1">
              <w:pPr>
                <w:framePr w:w="3856" w:h="1372" w:hRule="exact" w:hSpace="181" w:wrap="around" w:vAnchor="page" w:hAnchor="page" w:x="7429" w:y="3584" w:anchorLock="1"/>
                <w:rPr>
                  <w:rFonts w:ascii="Tahoma" w:hAnsi="Tahoma" w:cs="Tahoma"/>
                </w:rPr>
              </w:pPr>
            </w:p>
            <w:p w14:paraId="22E63622" w14:textId="77777777" w:rsidR="00E63021" w:rsidRPr="00CD3C95" w:rsidRDefault="00E63021" w:rsidP="00E63021">
              <w:pPr>
                <w:rPr>
                  <w:rFonts w:ascii="Tahoma" w:hAnsi="Tahoma" w:cs="Tahoma"/>
                  <w:sz w:val="22"/>
                  <w:szCs w:val="22"/>
                </w:rPr>
              </w:pPr>
            </w:p>
            <w:p w14:paraId="74B78D91" w14:textId="77777777" w:rsidR="00CB5388" w:rsidRPr="00CD3C95" w:rsidRDefault="00CB5388" w:rsidP="00E63021">
              <w:pPr>
                <w:tabs>
                  <w:tab w:val="left" w:pos="1851"/>
                </w:tabs>
                <w:rPr>
                  <w:rFonts w:ascii="Tahoma" w:hAnsi="Tahoma" w:cs="Tahoma"/>
                  <w:sz w:val="22"/>
                  <w:szCs w:val="22"/>
                </w:rPr>
              </w:pPr>
            </w:p>
            <w:p w14:paraId="40BEDE00" w14:textId="77777777" w:rsidR="007F11B8" w:rsidRDefault="007F11B8" w:rsidP="00E63021">
              <w:pPr>
                <w:tabs>
                  <w:tab w:val="left" w:pos="1851"/>
                </w:tabs>
                <w:rPr>
                  <w:rFonts w:ascii="Tahoma" w:hAnsi="Tahoma" w:cs="Tahoma"/>
                  <w:sz w:val="22"/>
                  <w:szCs w:val="22"/>
                </w:rPr>
              </w:pPr>
              <w:bookmarkStart w:id="7" w:name="Betreff"/>
              <w:bookmarkEnd w:id="7"/>
            </w:p>
            <w:p w14:paraId="7557763F" w14:textId="77777777" w:rsidR="005A1070" w:rsidRDefault="005A1070" w:rsidP="00E63021">
              <w:pPr>
                <w:tabs>
                  <w:tab w:val="left" w:pos="1851"/>
                </w:tabs>
                <w:rPr>
                  <w:rFonts w:ascii="Tahoma" w:hAnsi="Tahoma" w:cs="Tahoma"/>
                  <w:sz w:val="22"/>
                  <w:szCs w:val="22"/>
                </w:rPr>
              </w:pPr>
            </w:p>
            <w:p w14:paraId="37603D55" w14:textId="77777777" w:rsidR="005A1070" w:rsidRDefault="005A1070" w:rsidP="00E63021">
              <w:pPr>
                <w:tabs>
                  <w:tab w:val="left" w:pos="1851"/>
                </w:tabs>
                <w:rPr>
                  <w:rFonts w:ascii="Tahoma" w:hAnsi="Tahoma" w:cs="Tahoma"/>
                  <w:sz w:val="22"/>
                  <w:szCs w:val="22"/>
                </w:rPr>
              </w:pPr>
            </w:p>
            <w:p w14:paraId="021DB5D5" w14:textId="77777777" w:rsidR="005A1070" w:rsidRDefault="005A1070" w:rsidP="00E63021">
              <w:pPr>
                <w:tabs>
                  <w:tab w:val="left" w:pos="1851"/>
                </w:tabs>
                <w:rPr>
                  <w:rFonts w:ascii="Tahoma" w:hAnsi="Tahoma" w:cs="Tahoma"/>
                  <w:sz w:val="22"/>
                  <w:szCs w:val="22"/>
                </w:rPr>
              </w:pPr>
            </w:p>
            <w:p w14:paraId="48D55896" w14:textId="77777777" w:rsidR="005A1070" w:rsidRDefault="005A1070" w:rsidP="00E63021">
              <w:pPr>
                <w:tabs>
                  <w:tab w:val="left" w:pos="1851"/>
                </w:tabs>
                <w:rPr>
                  <w:rFonts w:ascii="Tahoma" w:hAnsi="Tahoma" w:cs="Tahoma"/>
                  <w:sz w:val="22"/>
                  <w:szCs w:val="22"/>
                </w:rPr>
              </w:pPr>
            </w:p>
            <w:p w14:paraId="3BB452C7" w14:textId="77777777" w:rsidR="005A1070" w:rsidRDefault="005A1070" w:rsidP="00E63021">
              <w:pPr>
                <w:tabs>
                  <w:tab w:val="left" w:pos="1851"/>
                </w:tabs>
                <w:rPr>
                  <w:rFonts w:ascii="Tahoma" w:hAnsi="Tahoma" w:cs="Tahoma"/>
                  <w:sz w:val="22"/>
                  <w:szCs w:val="22"/>
                </w:rPr>
              </w:pPr>
            </w:p>
            <w:p w14:paraId="0FD8766F" w14:textId="77777777" w:rsidR="007F11B8" w:rsidRDefault="009E67E9" w:rsidP="00E63021">
              <w:pPr>
                <w:tabs>
                  <w:tab w:val="left" w:pos="1851"/>
                </w:tabs>
                <w:rPr>
                  <w:rFonts w:ascii="Tahoma" w:hAnsi="Tahoma" w:cs="Tahoma"/>
                  <w:sz w:val="22"/>
                  <w:szCs w:val="22"/>
                </w:rPr>
              </w:pPr>
            </w:p>
          </w:sdtContent>
        </w:sdt>
        <w:p w14:paraId="7E444781" w14:textId="77777777" w:rsidR="005E09B0" w:rsidRPr="00CD3C95" w:rsidRDefault="009E67E9" w:rsidP="00E63021">
          <w:pPr>
            <w:tabs>
              <w:tab w:val="left" w:pos="1851"/>
            </w:tabs>
            <w:rPr>
              <w:rFonts w:ascii="Tahoma" w:hAnsi="Tahoma" w:cs="Tahoma"/>
              <w:sz w:val="22"/>
              <w:szCs w:val="22"/>
            </w:rPr>
            <w:sectPr w:rsidR="005E09B0" w:rsidRPr="00CD3C95" w:rsidSect="006F5836">
              <w:headerReference w:type="default" r:id="rId11"/>
              <w:headerReference w:type="first" r:id="rId12"/>
              <w:footerReference w:type="first" r:id="rId13"/>
              <w:pgSz w:w="11906" w:h="16838" w:code="9"/>
              <w:pgMar w:top="991" w:right="680" w:bottom="1418" w:left="1247" w:header="850" w:footer="227" w:gutter="0"/>
              <w:cols w:space="708"/>
              <w:docGrid w:linePitch="326"/>
            </w:sectPr>
          </w:pPr>
        </w:p>
      </w:sdtContent>
    </w:sdt>
    <w:p w14:paraId="4CB629A3" w14:textId="77777777" w:rsidR="009668C7" w:rsidRDefault="009668C7" w:rsidP="00B90B89">
      <w:pPr>
        <w:spacing w:before="240" w:line="360" w:lineRule="auto"/>
        <w:rPr>
          <w:rFonts w:ascii="Tahoma" w:hAnsi="Tahoma" w:cs="Tahoma"/>
          <w:b/>
          <w:color w:val="333333"/>
          <w:sz w:val="28"/>
          <w:szCs w:val="28"/>
        </w:rPr>
      </w:pPr>
      <w:r w:rsidRPr="009668C7">
        <w:rPr>
          <w:rFonts w:ascii="Tahoma" w:hAnsi="Tahoma" w:cs="Tahoma"/>
          <w:b/>
          <w:color w:val="333333"/>
          <w:sz w:val="28"/>
          <w:szCs w:val="28"/>
        </w:rPr>
        <w:t>BITZER stärkt Partnerschaft für eine nachhaltige HVAC&amp;R‑Zukunft in China</w:t>
      </w:r>
    </w:p>
    <w:p w14:paraId="210189BA" w14:textId="4E226811" w:rsidR="009668C7" w:rsidRPr="007E4963" w:rsidRDefault="009668C7" w:rsidP="00B90B89">
      <w:pPr>
        <w:spacing w:before="240" w:line="360" w:lineRule="auto"/>
        <w:rPr>
          <w:rFonts w:ascii="Tahoma" w:hAnsi="Tahoma"/>
          <w:i/>
          <w:iCs/>
          <w:sz w:val="22"/>
          <w:szCs w:val="22"/>
        </w:rPr>
      </w:pPr>
      <w:r>
        <w:rPr>
          <w:rFonts w:ascii="Tahoma" w:hAnsi="Tahoma" w:cs="Tahoma"/>
          <w:bCs/>
          <w:i/>
          <w:iCs/>
          <w:sz w:val="22"/>
          <w:szCs w:val="22"/>
        </w:rPr>
        <w:t>Peking</w:t>
      </w:r>
      <w:r w:rsidR="00B90B89" w:rsidRPr="009668C7">
        <w:rPr>
          <w:rFonts w:ascii="Tahoma" w:hAnsi="Tahoma" w:cs="Tahoma"/>
          <w:bCs/>
          <w:i/>
          <w:iCs/>
          <w:sz w:val="22"/>
          <w:szCs w:val="22"/>
        </w:rPr>
        <w:t xml:space="preserve">, </w:t>
      </w:r>
      <w:r w:rsidR="007E4963">
        <w:rPr>
          <w:rFonts w:ascii="Tahoma" w:hAnsi="Tahoma" w:cs="Tahoma"/>
          <w:bCs/>
          <w:i/>
          <w:iCs/>
          <w:sz w:val="22"/>
          <w:szCs w:val="22"/>
        </w:rPr>
        <w:t>08.04.</w:t>
      </w:r>
      <w:r w:rsidR="005D4F49" w:rsidRPr="009668C7">
        <w:rPr>
          <w:rFonts w:ascii="Tahoma" w:hAnsi="Tahoma" w:cs="Tahoma"/>
          <w:bCs/>
          <w:i/>
          <w:iCs/>
          <w:sz w:val="22"/>
          <w:szCs w:val="22"/>
        </w:rPr>
        <w:t xml:space="preserve"> 2026. </w:t>
      </w:r>
      <w:r w:rsidRPr="009668C7">
        <w:rPr>
          <w:rFonts w:ascii="Tahoma" w:hAnsi="Tahoma" w:cs="Tahoma"/>
          <w:bCs/>
          <w:i/>
          <w:iCs/>
          <w:sz w:val="22"/>
          <w:szCs w:val="22"/>
        </w:rPr>
        <w:t>Auf der China Refrigeration Expo 2026 in Peking präsentiert sich BITZER als verlässlicher, langfristiger Partner und konzentriert sich auf die wichtigsten Themen für die chinesische HVAC&amp;R‑Industrie: energieeffiziente Komponenten für zukunftssichere Kältemittel, fortschrittliche Technologien zur Dekarbonisierung von Heizsystemen sowie präzise Kühllösungen für Rechenzentren und KI‑Fabriken. Unter dem Motto „SHAPING THE FUTURE WITH YOU</w:t>
      </w:r>
      <w:r w:rsidR="00816891" w:rsidRPr="009668C7">
        <w:rPr>
          <w:rFonts w:ascii="Tahoma" w:hAnsi="Tahoma" w:cs="Tahoma"/>
          <w:bCs/>
          <w:sz w:val="22"/>
          <w:szCs w:val="22"/>
        </w:rPr>
        <w:t>“</w:t>
      </w:r>
      <w:r w:rsidRPr="009668C7">
        <w:rPr>
          <w:rFonts w:ascii="Tahoma" w:hAnsi="Tahoma" w:cs="Tahoma"/>
          <w:bCs/>
          <w:i/>
          <w:iCs/>
          <w:sz w:val="22"/>
          <w:szCs w:val="22"/>
        </w:rPr>
        <w:t xml:space="preserve"> zeigt der Spezialist für Kälte‑, Klima- und Wärmepumpentechnik seine Innovationen auf der China Refrigeration Expo am Stand A2G01 in Halle A2.</w:t>
      </w:r>
    </w:p>
    <w:p w14:paraId="71BC939F" w14:textId="61DF37A6" w:rsidR="00B90B89" w:rsidRPr="009668C7" w:rsidRDefault="009668C7" w:rsidP="00B90B89">
      <w:pPr>
        <w:spacing w:before="240" w:line="360" w:lineRule="auto"/>
        <w:rPr>
          <w:rFonts w:ascii="Tahoma" w:hAnsi="Tahoma" w:cs="Tahoma"/>
          <w:bCs/>
          <w:sz w:val="22"/>
          <w:szCs w:val="22"/>
        </w:rPr>
      </w:pPr>
      <w:r w:rsidRPr="009668C7">
        <w:rPr>
          <w:rFonts w:ascii="Tahoma" w:hAnsi="Tahoma" w:cs="Tahoma"/>
          <w:bCs/>
          <w:sz w:val="22"/>
          <w:szCs w:val="22"/>
        </w:rPr>
        <w:t>In einer Phase tiefgreifender wirtschaftlicher und technologischer Veränderungen sind Partnerschaft, Verlässlichkeit und langfristige Planung wichtiger denn je. Auf der China Refrigeration Expo 2026, die vom 8. bis 10. April in Peking stattfindet, unterstreicht BITZER sein starkes Engagement für den chinesischen Markt und seine Kunden. Unter dem Motto „SHAPING THE FUTURE WITH YOU“ präsentiert der Spezialist für Kälte‑, Klima- und Wärmepumpentechnik seine Lösungen am Stand A2G01 in Halle A2</w:t>
      </w:r>
      <w:r w:rsidR="00B90B89" w:rsidRPr="009668C7">
        <w:rPr>
          <w:rFonts w:ascii="Tahoma" w:hAnsi="Tahoma" w:cs="Tahoma"/>
          <w:bCs/>
          <w:sz w:val="22"/>
          <w:szCs w:val="22"/>
        </w:rPr>
        <w:t>.</w:t>
      </w:r>
    </w:p>
    <w:p w14:paraId="3081B16D" w14:textId="2466B3EE" w:rsidR="009668C7" w:rsidRPr="009668C7" w:rsidRDefault="009668C7" w:rsidP="00B90B89">
      <w:pPr>
        <w:spacing w:before="240" w:line="360" w:lineRule="auto"/>
        <w:rPr>
          <w:rFonts w:ascii="Tahoma" w:hAnsi="Tahoma" w:cs="Tahoma"/>
          <w:bCs/>
          <w:sz w:val="22"/>
          <w:szCs w:val="22"/>
        </w:rPr>
      </w:pPr>
      <w:r w:rsidRPr="009668C7">
        <w:rPr>
          <w:rFonts w:ascii="Tahoma" w:hAnsi="Tahoma" w:cs="Tahoma"/>
          <w:bCs/>
          <w:sz w:val="22"/>
          <w:szCs w:val="22"/>
        </w:rPr>
        <w:t xml:space="preserve">Chinas HVAC&amp;R‑Industrie entwickelt sich rasant hin zu höherer Energieeffizienz, geringeren CO₂‑Emissionen und intelligenten, digitalisierten Systemen. Getragen von der nationalen Low‑Carbon‑Agenda und den Zielen des 15. Fünfjahresplans ist Nachhaltigkeit zu einer gemeinsamen Aufgabe entlang der gesamten Wertschöpfungskette geworden. BITZER unterstützt diesen Weg mit </w:t>
      </w:r>
      <w:r w:rsidRPr="009668C7">
        <w:rPr>
          <w:rFonts w:ascii="Tahoma" w:hAnsi="Tahoma" w:cs="Tahoma"/>
          <w:bCs/>
          <w:sz w:val="22"/>
          <w:szCs w:val="22"/>
        </w:rPr>
        <w:lastRenderedPageBreak/>
        <w:t>Technologien zur CO₂‑Reduktion</w:t>
      </w:r>
      <w:r>
        <w:rPr>
          <w:rStyle w:val="Funotenzeichen"/>
          <w:rFonts w:ascii="Tahoma" w:hAnsi="Tahoma" w:cs="Tahoma"/>
          <w:bCs/>
          <w:sz w:val="22"/>
          <w:szCs w:val="22"/>
        </w:rPr>
        <w:footnoteReference w:id="1"/>
      </w:r>
      <w:r w:rsidRPr="009668C7">
        <w:rPr>
          <w:rFonts w:ascii="Tahoma" w:hAnsi="Tahoma" w:cs="Tahoma"/>
          <w:bCs/>
          <w:sz w:val="22"/>
          <w:szCs w:val="22"/>
        </w:rPr>
        <w:t xml:space="preserve"> und für zukunftssichere Kältemittel – und bietet damit praxisnahe Antworten auf Herausforderungen in China und weltweit.</w:t>
      </w:r>
    </w:p>
    <w:p w14:paraId="3F022F69" w14:textId="654D7E91" w:rsidR="00A940F6" w:rsidRDefault="00A940F6" w:rsidP="00B90B89">
      <w:pPr>
        <w:spacing w:before="240" w:line="360" w:lineRule="auto"/>
        <w:rPr>
          <w:rFonts w:ascii="Tahoma" w:hAnsi="Tahoma" w:cs="Tahoma"/>
          <w:bCs/>
          <w:sz w:val="22"/>
          <w:szCs w:val="22"/>
        </w:rPr>
      </w:pPr>
      <w:r w:rsidRPr="00A940F6">
        <w:rPr>
          <w:rFonts w:ascii="Tahoma" w:hAnsi="Tahoma" w:cs="Tahoma"/>
          <w:bCs/>
          <w:sz w:val="22"/>
          <w:szCs w:val="22"/>
        </w:rPr>
        <w:t>„Chinas Wandel hin zu einer CO₂‑armen, energieeffizienten und digitalen Wirtschaft eröffnet neue Chancen in vielen Branchen“, sagt Martin Büchsel, Chief Sales and Marketing Officer bei BITZER. „Mit unserem breiten Portfolio unterstützen wir unsere Kunden dabei, ihre Systeme heute und langfristig zuverlässig, regelkonform und wettbewerbsfähig zu machen. Für uns bedeutet Zukunft gestalten, gemeinsam mit unseren Partnern in China nachhaltig zu wachsen.“</w:t>
      </w:r>
    </w:p>
    <w:p w14:paraId="194121F1" w14:textId="0EA56C38" w:rsidR="004F5963" w:rsidRDefault="004F5963" w:rsidP="00B90B89">
      <w:pPr>
        <w:spacing w:before="240" w:line="360" w:lineRule="auto"/>
        <w:rPr>
          <w:rFonts w:ascii="Tahoma" w:hAnsi="Tahoma" w:cs="Tahoma"/>
          <w:bCs/>
          <w:sz w:val="22"/>
          <w:szCs w:val="22"/>
        </w:rPr>
      </w:pPr>
      <w:r w:rsidRPr="004F5963">
        <w:rPr>
          <w:rFonts w:ascii="Tahoma" w:hAnsi="Tahoma" w:cs="Tahoma"/>
          <w:bCs/>
          <w:sz w:val="22"/>
          <w:szCs w:val="22"/>
        </w:rPr>
        <w:t>Gleichzeitig entstehen neue Wachstumstreiber. Mit Lösungen für die Kühlung von Rechenzentren für KI und Digital China, Wärmepumpentechnologien für die Dekarbonisierung sowie intelligenten After‑Sales‑ und Servicekonzepten auf Basis vorausschauender Leistungsanalyse und Fernüberwachung unterstützt BITZER seine Kunden dabei, neue Geschäftschancen erfolgreich zu nutzen und nachhaltig zu wachsen. Neben der Erschließung neuer Märkte stärkt das Unternehmen auch bestehende Geschäftsfelder, indem es Effizienz und Wettbewerbsfähigkeit erhöht – etwa durch fortschrittliche Kältetechnologien wie ein erweitertes Scroll</w:t>
      </w:r>
      <w:r w:rsidR="00A5782B">
        <w:rPr>
          <w:rFonts w:ascii="Tahoma" w:hAnsi="Tahoma" w:cs="Tahoma"/>
          <w:bCs/>
          <w:sz w:val="22"/>
          <w:szCs w:val="22"/>
        </w:rPr>
        <w:t>p</w:t>
      </w:r>
      <w:r w:rsidRPr="004F5963">
        <w:rPr>
          <w:rFonts w:ascii="Tahoma" w:hAnsi="Tahoma" w:cs="Tahoma"/>
          <w:bCs/>
          <w:sz w:val="22"/>
          <w:szCs w:val="22"/>
        </w:rPr>
        <w:t xml:space="preserve">ortfolio und Innovationen wie den neuen </w:t>
      </w:r>
      <w:r>
        <w:rPr>
          <w:rFonts w:ascii="Tahoma" w:hAnsi="Tahoma" w:cs="Tahoma"/>
          <w:bCs/>
          <w:sz w:val="22"/>
          <w:szCs w:val="22"/>
        </w:rPr>
        <w:t>2-</w:t>
      </w:r>
      <w:r w:rsidRPr="004F5963">
        <w:rPr>
          <w:rFonts w:ascii="Tahoma" w:hAnsi="Tahoma" w:cs="Tahoma"/>
          <w:bCs/>
          <w:sz w:val="22"/>
          <w:szCs w:val="22"/>
        </w:rPr>
        <w:t>stufigen Schraubenverdichter.</w:t>
      </w:r>
    </w:p>
    <w:p w14:paraId="52393753" w14:textId="77777777" w:rsidR="004F5963" w:rsidRDefault="004F5963" w:rsidP="006C20EF">
      <w:pPr>
        <w:spacing w:before="240" w:line="360" w:lineRule="auto"/>
        <w:rPr>
          <w:rFonts w:ascii="Tahoma" w:hAnsi="Tahoma" w:cs="Tahoma"/>
          <w:bCs/>
          <w:sz w:val="22"/>
          <w:szCs w:val="22"/>
        </w:rPr>
      </w:pPr>
      <w:r w:rsidRPr="004F5963">
        <w:rPr>
          <w:rFonts w:ascii="Tahoma" w:hAnsi="Tahoma" w:cs="Tahoma"/>
          <w:bCs/>
          <w:sz w:val="22"/>
          <w:szCs w:val="22"/>
        </w:rPr>
        <w:t>Mit seiner starken lokalen Präsenz, kombiniert mit globaler Engineering‑Expertise, steht BITZER seinen Partnern in China zur Seite – engagiert für gemeinsames Wachstum, gemeinsame Verantwortung und eine gemeinsame Zukunft.</w:t>
      </w:r>
    </w:p>
    <w:p w14:paraId="3533AC2F" w14:textId="221362F2" w:rsidR="004F5963" w:rsidRPr="007E4963" w:rsidRDefault="004F5963" w:rsidP="006C20EF">
      <w:pPr>
        <w:spacing w:before="240" w:line="360" w:lineRule="auto"/>
        <w:rPr>
          <w:rFonts w:ascii="Tahoma" w:hAnsi="Tahoma" w:cs="Tahoma"/>
          <w:b/>
          <w:sz w:val="22"/>
          <w:szCs w:val="22"/>
        </w:rPr>
      </w:pPr>
      <w:r w:rsidRPr="007E4963">
        <w:rPr>
          <w:rFonts w:ascii="Tahoma" w:hAnsi="Tahoma" w:cs="Tahoma"/>
          <w:b/>
          <w:sz w:val="22"/>
          <w:szCs w:val="22"/>
        </w:rPr>
        <w:t>Zuverlässige Rechenzentrumskühlung beginnt mit Komponenten von BITZER</w:t>
      </w:r>
    </w:p>
    <w:p w14:paraId="54BAF20E" w14:textId="37C5ACB1" w:rsidR="00B15D74" w:rsidRDefault="00B15D74" w:rsidP="006A7725">
      <w:pPr>
        <w:spacing w:before="240" w:line="360" w:lineRule="auto"/>
        <w:rPr>
          <w:rFonts w:ascii="Tahoma" w:hAnsi="Tahoma" w:cs="Tahoma"/>
          <w:sz w:val="22"/>
          <w:szCs w:val="22"/>
        </w:rPr>
      </w:pPr>
      <w:r w:rsidRPr="00B15D74">
        <w:rPr>
          <w:rFonts w:ascii="Tahoma" w:hAnsi="Tahoma" w:cs="Tahoma"/>
          <w:sz w:val="22"/>
          <w:szCs w:val="22"/>
        </w:rPr>
        <w:t xml:space="preserve">Steigende Rack‑Leistungsdichten, insbesondere durch KI‑Anwendungen und High‑Density‑Computing, erhöhen die thermische Last in Rechenzentren. Betreiber benötigen daher leistungsstarke und effiziente Kühlsysteme, die einen unterbrechungsfreien Betrieb und eine hohe Verfügbarkeit der Infrastruktur sichern – und gleichzeitig dabei helfen, anspruchsvolle </w:t>
      </w:r>
      <w:r w:rsidR="001C3F0D" w:rsidRPr="00B15D74">
        <w:rPr>
          <w:rFonts w:ascii="Tahoma" w:hAnsi="Tahoma" w:cs="Tahoma"/>
          <w:sz w:val="22"/>
          <w:szCs w:val="22"/>
        </w:rPr>
        <w:t xml:space="preserve">Ziele </w:t>
      </w:r>
      <w:r w:rsidR="001C3F0D">
        <w:rPr>
          <w:rFonts w:ascii="Tahoma" w:hAnsi="Tahoma" w:cs="Tahoma"/>
          <w:sz w:val="22"/>
          <w:szCs w:val="22"/>
        </w:rPr>
        <w:t xml:space="preserve">bei der </w:t>
      </w:r>
      <w:r w:rsidRPr="00B15D74">
        <w:rPr>
          <w:rFonts w:ascii="Tahoma" w:hAnsi="Tahoma" w:cs="Tahoma"/>
          <w:sz w:val="22"/>
          <w:szCs w:val="22"/>
        </w:rPr>
        <w:t>PUE</w:t>
      </w:r>
      <w:r w:rsidR="001C3F0D">
        <w:rPr>
          <w:rFonts w:ascii="Tahoma" w:hAnsi="Tahoma" w:cs="Tahoma"/>
          <w:sz w:val="22"/>
          <w:szCs w:val="22"/>
        </w:rPr>
        <w:t xml:space="preserve"> (= Power Usage Effectiveness)</w:t>
      </w:r>
      <w:r w:rsidRPr="00B15D74">
        <w:rPr>
          <w:rFonts w:ascii="Tahoma" w:hAnsi="Tahoma" w:cs="Tahoma"/>
          <w:sz w:val="22"/>
          <w:szCs w:val="22"/>
        </w:rPr>
        <w:t xml:space="preserve"> zu erreichen, </w:t>
      </w:r>
      <w:r w:rsidR="001C3F0D" w:rsidRPr="00B15D74">
        <w:rPr>
          <w:rFonts w:ascii="Tahoma" w:hAnsi="Tahoma" w:cs="Tahoma"/>
          <w:sz w:val="22"/>
          <w:szCs w:val="22"/>
        </w:rPr>
        <w:t>de</w:t>
      </w:r>
      <w:r w:rsidR="001C3F0D">
        <w:rPr>
          <w:rFonts w:ascii="Tahoma" w:hAnsi="Tahoma" w:cs="Tahoma"/>
          <w:sz w:val="22"/>
          <w:szCs w:val="22"/>
        </w:rPr>
        <w:t>m</w:t>
      </w:r>
      <w:r w:rsidR="001C3F0D" w:rsidRPr="00B15D74">
        <w:rPr>
          <w:rFonts w:ascii="Tahoma" w:hAnsi="Tahoma" w:cs="Tahoma"/>
          <w:sz w:val="22"/>
          <w:szCs w:val="22"/>
        </w:rPr>
        <w:t xml:space="preserve"> </w:t>
      </w:r>
      <w:r w:rsidRPr="00B15D74">
        <w:rPr>
          <w:rFonts w:ascii="Tahoma" w:hAnsi="Tahoma" w:cs="Tahoma"/>
          <w:sz w:val="22"/>
          <w:szCs w:val="22"/>
        </w:rPr>
        <w:t>zentralen Effizienzkennwert moderner Rechenzentren.</w:t>
      </w:r>
    </w:p>
    <w:p w14:paraId="1DD34E4B" w14:textId="198DE852" w:rsidR="007C6B2C" w:rsidRPr="00A34CE1" w:rsidRDefault="00A34CE1" w:rsidP="00B90B89">
      <w:pPr>
        <w:spacing w:before="240" w:line="360" w:lineRule="auto"/>
        <w:rPr>
          <w:rFonts w:ascii="Tahoma" w:hAnsi="Tahoma" w:cs="Tahoma"/>
          <w:b/>
          <w:sz w:val="22"/>
          <w:szCs w:val="22"/>
        </w:rPr>
      </w:pPr>
      <w:r w:rsidRPr="00A34CE1">
        <w:rPr>
          <w:rFonts w:ascii="Tahoma" w:hAnsi="Tahoma" w:cs="Tahoma"/>
          <w:sz w:val="22"/>
          <w:szCs w:val="22"/>
        </w:rPr>
        <w:t>Auf der China Refrigeration Expo 2026 zeigt BITZER unter anderem Schraubenverdichter für eine zuverlässige und energieeffiziente Rechenzentrumskühlung. Für den Betrieb mit verschiedenen Kältemitteln ausgelegt – darunter das Niedrig‑GWP‑Kältemittel R1234ze(E) – liefern die CSW105 Kompaktschraubenverdichter in Tandemkonfiguration bis zu 4 MW Kälteleistung und eignen sich damit für Hyperscale‑Rechenzentren. Mit Doppelschieber</w:t>
      </w:r>
      <w:r w:rsidR="001C3F0D">
        <w:rPr>
          <w:rFonts w:ascii="Tahoma" w:hAnsi="Tahoma" w:cs="Tahoma"/>
          <w:sz w:val="22"/>
          <w:szCs w:val="22"/>
        </w:rPr>
        <w:t>t</w:t>
      </w:r>
      <w:r w:rsidRPr="00A34CE1">
        <w:rPr>
          <w:rFonts w:ascii="Tahoma" w:hAnsi="Tahoma" w:cs="Tahoma"/>
          <w:sz w:val="22"/>
          <w:szCs w:val="22"/>
        </w:rPr>
        <w:t xml:space="preserve">echnologie und automatischer Vi‑Anpassung bieten </w:t>
      </w:r>
      <w:r w:rsidRPr="00A34CE1">
        <w:rPr>
          <w:rFonts w:ascii="Tahoma" w:hAnsi="Tahoma" w:cs="Tahoma"/>
          <w:sz w:val="22"/>
          <w:szCs w:val="22"/>
        </w:rPr>
        <w:lastRenderedPageBreak/>
        <w:t>sie einen breiten Modulationsbereich und halten die Effizienz auch bei wechselnden Lasten und Betriebsbedingungen auf hohem Niveau.</w:t>
      </w:r>
    </w:p>
    <w:p w14:paraId="5D0336A6" w14:textId="77777777" w:rsidR="00A34CE1" w:rsidRPr="00A34CE1" w:rsidRDefault="00A34CE1" w:rsidP="009106F8">
      <w:pPr>
        <w:spacing w:before="240" w:line="360" w:lineRule="auto"/>
        <w:rPr>
          <w:rFonts w:ascii="Tahoma" w:hAnsi="Tahoma" w:cs="Tahoma"/>
          <w:b/>
          <w:sz w:val="22"/>
          <w:szCs w:val="22"/>
        </w:rPr>
      </w:pPr>
      <w:r w:rsidRPr="00A34CE1">
        <w:rPr>
          <w:rFonts w:ascii="Tahoma" w:hAnsi="Tahoma" w:cs="Tahoma"/>
          <w:b/>
          <w:sz w:val="22"/>
          <w:szCs w:val="22"/>
        </w:rPr>
        <w:t>Produkte von BITZER mit zukunftssicheren Kältemitteln</w:t>
      </w:r>
    </w:p>
    <w:p w14:paraId="29008F19" w14:textId="77777777" w:rsidR="00A34CE1" w:rsidRDefault="00A34CE1" w:rsidP="005F14B4">
      <w:pPr>
        <w:spacing w:before="240" w:line="360" w:lineRule="auto"/>
        <w:rPr>
          <w:rFonts w:ascii="Tahoma" w:hAnsi="Tahoma" w:cs="Tahoma"/>
          <w:bCs/>
          <w:sz w:val="22"/>
          <w:szCs w:val="22"/>
        </w:rPr>
      </w:pPr>
      <w:r w:rsidRPr="00A34CE1">
        <w:rPr>
          <w:rFonts w:ascii="Tahoma" w:hAnsi="Tahoma" w:cs="Tahoma"/>
          <w:bCs/>
          <w:sz w:val="22"/>
          <w:szCs w:val="22"/>
        </w:rPr>
        <w:t>China beschleunigt seine Umstellung auf Niedrig‑GWP‑Kältemittel im Einklang mit dem Kigali Amendment und dem nationalen Green Cooling Action Plan. Das Land hat den HFKW‑Verbrauch auf dem Niveau von 2024 eingefroren und wird 2029 den ersten Reduktionsschritt einleiten, während gleichzeitig sektorspezifische Verbote für Kältemittel mit hohem GWP zwischen 2026 und 2030 eingeführt werden. Diese Entwicklung führt in der gesamten HVAC&amp;R‑Industrie zu einer starken Nachfrage nach effizienten, zukunftssicheren Lösungen.</w:t>
      </w:r>
    </w:p>
    <w:p w14:paraId="5D3AAA9A" w14:textId="7B243F9A" w:rsidR="00A34CE1" w:rsidRPr="00A34CE1" w:rsidRDefault="00A34CE1" w:rsidP="005F14B4">
      <w:pPr>
        <w:spacing w:before="240" w:line="360" w:lineRule="auto"/>
        <w:rPr>
          <w:rFonts w:ascii="Tahoma" w:hAnsi="Tahoma" w:cs="Tahoma"/>
          <w:bCs/>
          <w:sz w:val="22"/>
          <w:szCs w:val="22"/>
        </w:rPr>
      </w:pPr>
      <w:r w:rsidRPr="00A34CE1">
        <w:rPr>
          <w:rFonts w:ascii="Tahoma" w:hAnsi="Tahoma" w:cs="Tahoma"/>
          <w:bCs/>
          <w:sz w:val="22"/>
          <w:szCs w:val="22"/>
        </w:rPr>
        <w:t xml:space="preserve">Europa bewegt sich mit klarer Entschlossenheit hin zu einem nahezu vollständigen Verzicht auf Fluorkohlenwasserstoffe mit hohem GWP gemäß der neuen F‑Gas‑Verordnung (EU) 2024/573, die </w:t>
      </w:r>
      <w:r w:rsidR="001C3F0D">
        <w:rPr>
          <w:rFonts w:ascii="Tahoma" w:hAnsi="Tahoma" w:cs="Tahoma"/>
          <w:bCs/>
          <w:sz w:val="22"/>
          <w:szCs w:val="22"/>
        </w:rPr>
        <w:t xml:space="preserve">die </w:t>
      </w:r>
      <w:r w:rsidRPr="00A34CE1">
        <w:rPr>
          <w:rFonts w:ascii="Tahoma" w:hAnsi="Tahoma" w:cs="Tahoma"/>
          <w:bCs/>
          <w:sz w:val="22"/>
          <w:szCs w:val="22"/>
        </w:rPr>
        <w:t>Quoten weiter verschärft sowie Produktverbote und Betreiberpflichten ausgeweitet hat. Parallel dazu befindet sich das EU‑Dossier zur PFAS‑Beschränkung unter REACH in der Entwicklung; vergangene Woche wurde eine Stellungnahme veröffentlicht, und die endgültige Entscheidung der EU‑Kommission wird bis Ende 2026 erwartet – ein Prozess, der je nach Risikobewertung und möglichen Ausnahmen bestimmte fluorierte Stoffklassen weiter einschränken könnte.</w:t>
      </w:r>
      <w:r w:rsidR="009D5B65">
        <w:rPr>
          <w:rFonts w:ascii="Tahoma" w:hAnsi="Tahoma" w:cs="Tahoma"/>
          <w:bCs/>
          <w:sz w:val="22"/>
          <w:szCs w:val="22"/>
        </w:rPr>
        <w:br/>
      </w:r>
    </w:p>
    <w:p w14:paraId="1CB4CAB9" w14:textId="2A78A109" w:rsidR="00A34CE1" w:rsidRPr="009D5B65" w:rsidRDefault="00A34CE1" w:rsidP="00CE541D">
      <w:pPr>
        <w:spacing w:after="160" w:line="360" w:lineRule="auto"/>
        <w:rPr>
          <w:rFonts w:ascii="Tahoma" w:hAnsi="Tahoma" w:cs="Tahoma"/>
          <w:b/>
          <w:bCs/>
          <w:sz w:val="22"/>
          <w:szCs w:val="22"/>
        </w:rPr>
      </w:pPr>
      <w:r w:rsidRPr="009D5B65">
        <w:rPr>
          <w:rFonts w:ascii="Tahoma" w:hAnsi="Tahoma" w:cs="Tahoma"/>
          <w:b/>
          <w:bCs/>
          <w:sz w:val="22"/>
          <w:szCs w:val="22"/>
        </w:rPr>
        <w:t>SHST 2-stufige Schraubenverdichter für Schockfrostanwendungen</w:t>
      </w:r>
    </w:p>
    <w:p w14:paraId="6EAEABF3" w14:textId="77777777" w:rsidR="009D5B65" w:rsidRDefault="009D5B65" w:rsidP="00EE7EE0">
      <w:pPr>
        <w:spacing w:after="160" w:line="360" w:lineRule="auto"/>
        <w:rPr>
          <w:rFonts w:ascii="Tahoma" w:hAnsi="Tahoma" w:cs="Tahoma"/>
          <w:sz w:val="22"/>
          <w:szCs w:val="22"/>
        </w:rPr>
      </w:pPr>
      <w:r w:rsidRPr="009D5B65">
        <w:rPr>
          <w:rFonts w:ascii="Tahoma" w:hAnsi="Tahoma" w:cs="Tahoma"/>
          <w:sz w:val="22"/>
          <w:szCs w:val="22"/>
        </w:rPr>
        <w:t>Für anspruchsvolle Schockfrost- und Tieftemperaturanwendungen entwickelt, gehören die neuen 2‑stufigen Schraubenverdichter der SHST Serie zu den Produkthighlights am BITZER Stand. Für den Einsatz mit Niedrig‑GWP‑Kältemitteln optimiert, ermöglichen sie einen zuverlässigen langfristigen Betrieb im Hinblick auf die ab 2029 geltenden GWP‑Beschränkungen.</w:t>
      </w:r>
    </w:p>
    <w:p w14:paraId="100EFBE7" w14:textId="2AB4C6B3" w:rsidR="009D5B65" w:rsidRPr="009D5B65" w:rsidRDefault="009D5B65" w:rsidP="00CE541D">
      <w:pPr>
        <w:spacing w:after="160" w:line="360" w:lineRule="auto"/>
        <w:rPr>
          <w:rFonts w:ascii="Tahoma" w:hAnsi="Tahoma" w:cs="Tahoma"/>
          <w:sz w:val="22"/>
          <w:szCs w:val="22"/>
        </w:rPr>
      </w:pPr>
      <w:r w:rsidRPr="009D5B65">
        <w:rPr>
          <w:rFonts w:ascii="Tahoma" w:hAnsi="Tahoma" w:cs="Tahoma"/>
          <w:sz w:val="22"/>
          <w:szCs w:val="22"/>
        </w:rPr>
        <w:t>Der Verdichter verfügt über zwei Permanentmagnetmotoren, jeweils mit einem eigenen drehzahlgeregelten Antrieb (VSD). Eine individuelle Vi‑Anpassung in beiden Verdichtungsstufen sorgt für hohe Effizienz über einen weiten Einsatzbereich. Die SHST Serie umfasst drei Modelle mit Fördervolumen von 250 bis 1350</w:t>
      </w:r>
      <w:r w:rsidR="00660B5D">
        <w:rPr>
          <w:rFonts w:ascii="Tahoma" w:hAnsi="Tahoma" w:cs="Tahoma"/>
          <w:sz w:val="22"/>
          <w:szCs w:val="22"/>
        </w:rPr>
        <w:t> </w:t>
      </w:r>
      <w:r w:rsidRPr="009D5B65">
        <w:rPr>
          <w:rFonts w:ascii="Tahoma" w:hAnsi="Tahoma" w:cs="Tahoma"/>
          <w:sz w:val="22"/>
          <w:szCs w:val="22"/>
        </w:rPr>
        <w:t xml:space="preserve">m³/h bei </w:t>
      </w:r>
      <w:r w:rsidR="00660B5D" w:rsidRPr="009D5B65">
        <w:rPr>
          <w:rFonts w:ascii="Tahoma" w:hAnsi="Tahoma" w:cs="Tahoma"/>
          <w:sz w:val="22"/>
          <w:szCs w:val="22"/>
        </w:rPr>
        <w:t>50</w:t>
      </w:r>
      <w:r w:rsidR="00660B5D">
        <w:rPr>
          <w:rFonts w:ascii="Tahoma" w:hAnsi="Tahoma" w:cs="Tahoma"/>
          <w:sz w:val="22"/>
          <w:szCs w:val="22"/>
        </w:rPr>
        <w:t> </w:t>
      </w:r>
      <w:r w:rsidR="00660B5D" w:rsidRPr="009D5B65">
        <w:rPr>
          <w:rFonts w:ascii="Tahoma" w:hAnsi="Tahoma" w:cs="Tahoma"/>
          <w:sz w:val="22"/>
          <w:szCs w:val="22"/>
        </w:rPr>
        <w:t xml:space="preserve">Hz </w:t>
      </w:r>
      <w:r w:rsidRPr="009D5B65">
        <w:rPr>
          <w:rFonts w:ascii="Tahoma" w:hAnsi="Tahoma" w:cs="Tahoma"/>
          <w:sz w:val="22"/>
          <w:szCs w:val="22"/>
        </w:rPr>
        <w:t>und ermöglicht Verdampfungstemperaturen bis zu −65°C.</w:t>
      </w:r>
    </w:p>
    <w:p w14:paraId="23DBDABC" w14:textId="77777777" w:rsidR="009D5B65" w:rsidRDefault="009D5B65" w:rsidP="005F14B4">
      <w:pPr>
        <w:spacing w:before="240" w:line="360" w:lineRule="auto"/>
        <w:rPr>
          <w:rFonts w:ascii="Tahoma" w:hAnsi="Tahoma" w:cs="Tahoma"/>
          <w:sz w:val="22"/>
          <w:szCs w:val="22"/>
        </w:rPr>
      </w:pPr>
      <w:r w:rsidRPr="009D5B65">
        <w:rPr>
          <w:rFonts w:ascii="Tahoma" w:hAnsi="Tahoma" w:cs="Tahoma"/>
          <w:sz w:val="22"/>
          <w:szCs w:val="22"/>
        </w:rPr>
        <w:t xml:space="preserve">Die neue zweistufige Schraubenverdichterserie SHST von BITZER stammt aus einem neu gegründeten Joint Venture zwischen BITZER China und Xinlei: BITZER Two Stages (Shanghai) Compressor Co., Ltd. Die Gründung dieses Joint Ventures und die Einführung der SHST Serie stärken die Präsenz von BITZER im chinesischen Markt. Das Produktportfolio ist für Tieftemperaturanwendungen wie </w:t>
      </w:r>
      <w:r w:rsidRPr="009D5B65">
        <w:rPr>
          <w:rFonts w:ascii="Tahoma" w:hAnsi="Tahoma" w:cs="Tahoma"/>
          <w:sz w:val="22"/>
          <w:szCs w:val="22"/>
        </w:rPr>
        <w:lastRenderedPageBreak/>
        <w:t>Schockfrosten und Gefriertrocknung ausgelegt. Der Fokus liegt auf energieeffizienten und CO₂‑armen Lösungen, ergänzt durch erweiterte Pre‑Sales‑ und After‑Sales‑Services, die auf die Anforderungen des lokalen Marktes abgestimmt sind.</w:t>
      </w:r>
    </w:p>
    <w:p w14:paraId="25D1704C" w14:textId="77777777" w:rsidR="00C95F89" w:rsidRPr="009D5B65" w:rsidRDefault="00C95F89" w:rsidP="005F14B4">
      <w:pPr>
        <w:spacing w:before="240" w:line="360" w:lineRule="auto"/>
        <w:rPr>
          <w:rFonts w:ascii="Tahoma" w:hAnsi="Tahoma" w:cs="Tahoma"/>
          <w:sz w:val="22"/>
          <w:szCs w:val="22"/>
        </w:rPr>
      </w:pPr>
    </w:p>
    <w:p w14:paraId="27C59A5F" w14:textId="77777777" w:rsidR="009D5B65" w:rsidRDefault="009D5B65" w:rsidP="00247991">
      <w:pPr>
        <w:spacing w:after="160" w:line="360" w:lineRule="auto"/>
        <w:rPr>
          <w:rFonts w:ascii="Tahoma" w:hAnsi="Tahoma" w:cs="Tahoma"/>
          <w:b/>
          <w:bCs/>
          <w:sz w:val="22"/>
          <w:szCs w:val="22"/>
        </w:rPr>
      </w:pPr>
      <w:r w:rsidRPr="009D5B65">
        <w:rPr>
          <w:rFonts w:ascii="Tahoma" w:hAnsi="Tahoma" w:cs="Tahoma"/>
          <w:b/>
          <w:bCs/>
          <w:sz w:val="22"/>
          <w:szCs w:val="22"/>
        </w:rPr>
        <w:t>Für hohe Leistung und Zuverlässigkeit in vielfältigen Anwendungen entwickelt</w:t>
      </w:r>
    </w:p>
    <w:p w14:paraId="13BCE59D" w14:textId="73D5107D" w:rsidR="00135760" w:rsidRDefault="00CA7146" w:rsidP="00247991">
      <w:pPr>
        <w:spacing w:after="160" w:line="360" w:lineRule="auto"/>
        <w:rPr>
          <w:rFonts w:ascii="Tahoma" w:hAnsi="Tahoma" w:cs="Tahoma"/>
          <w:sz w:val="22"/>
        </w:rPr>
      </w:pPr>
      <w:r w:rsidRPr="00CA7146">
        <w:rPr>
          <w:rFonts w:ascii="Tahoma" w:hAnsi="Tahoma" w:cs="Tahoma"/>
          <w:sz w:val="22"/>
        </w:rPr>
        <w:t xml:space="preserve">BITZER stellt außerdem sein umfassendes Portfolio an Scrollverdichtern für ein breites Anwendungsspektrum vor, darunter Klima- und </w:t>
      </w:r>
      <w:r w:rsidR="003150CA" w:rsidRPr="00CA7146">
        <w:rPr>
          <w:rFonts w:ascii="Tahoma" w:hAnsi="Tahoma" w:cs="Tahoma"/>
          <w:sz w:val="22"/>
        </w:rPr>
        <w:t>Wärmepumpen</w:t>
      </w:r>
      <w:r w:rsidR="003150CA">
        <w:rPr>
          <w:rFonts w:ascii="Tahoma" w:hAnsi="Tahoma" w:cs="Tahoma"/>
          <w:sz w:val="22"/>
        </w:rPr>
        <w:t>anlagen</w:t>
      </w:r>
      <w:r w:rsidRPr="00CA7146">
        <w:rPr>
          <w:rFonts w:ascii="Tahoma" w:hAnsi="Tahoma" w:cs="Tahoma"/>
          <w:sz w:val="22"/>
        </w:rPr>
        <w:t>. Die drehzahlgeregelten Scrollverdichter der CEFV Serie verfügen beispielsweise über Permanentmagnet</w:t>
      </w:r>
      <w:r w:rsidR="00660B5D">
        <w:rPr>
          <w:rFonts w:ascii="Tahoma" w:hAnsi="Tahoma" w:cs="Tahoma"/>
          <w:sz w:val="22"/>
        </w:rPr>
        <w:t>s</w:t>
      </w:r>
      <w:r w:rsidRPr="00CA7146">
        <w:rPr>
          <w:rFonts w:ascii="Tahoma" w:hAnsi="Tahoma" w:cs="Tahoma"/>
          <w:sz w:val="22"/>
        </w:rPr>
        <w:t>ynchronmotoren mit einem großen Modulationsbereich. Ihr Scrollprofil ist speziell für Wärmepumpenanwendungen mit hohen Druckverhältnissen unter niedrigen Umgebungstemperaturen optimiert. In Kombination mit der Flexible Injection Technology (FIT) ermöglicht dies einen effizienten Betrieb bei niedrigen Verdampfungstemperaturen und erreicht hohe IPLV</w:t>
      </w:r>
      <w:r w:rsidRPr="00CA7146">
        <w:rPr>
          <w:rFonts w:ascii="Tahoma" w:hAnsi="Tahoma" w:cs="Tahoma"/>
          <w:sz w:val="22"/>
        </w:rPr>
        <w:noBreakHyphen/>
        <w:t>Werte (</w:t>
      </w:r>
      <w:r w:rsidR="00660B5D">
        <w:rPr>
          <w:rFonts w:ascii="Tahoma" w:hAnsi="Tahoma" w:cs="Tahoma"/>
          <w:sz w:val="22"/>
        </w:rPr>
        <w:t xml:space="preserve">IPLV = </w:t>
      </w:r>
      <w:r w:rsidRPr="00CA7146">
        <w:rPr>
          <w:rFonts w:ascii="Tahoma" w:hAnsi="Tahoma" w:cs="Tahoma"/>
          <w:sz w:val="22"/>
        </w:rPr>
        <w:t>Integrated Part Load Value).</w:t>
      </w:r>
      <w:r w:rsidR="00135760" w:rsidRPr="00135760">
        <w:t xml:space="preserve"> </w:t>
      </w:r>
      <w:r w:rsidR="00135760" w:rsidRPr="00135760">
        <w:rPr>
          <w:rFonts w:ascii="Tahoma" w:hAnsi="Tahoma" w:cs="Tahoma"/>
          <w:sz w:val="22"/>
        </w:rPr>
        <w:t>Die Technologie zur Zentrifugalkraft</w:t>
      </w:r>
      <w:r w:rsidR="00660B5D">
        <w:rPr>
          <w:rFonts w:ascii="Tahoma" w:hAnsi="Tahoma" w:cs="Tahoma"/>
          <w:sz w:val="22"/>
        </w:rPr>
        <w:t>a</w:t>
      </w:r>
      <w:r w:rsidR="00135760" w:rsidRPr="00135760">
        <w:rPr>
          <w:rFonts w:ascii="Tahoma" w:hAnsi="Tahoma" w:cs="Tahoma"/>
          <w:sz w:val="22"/>
        </w:rPr>
        <w:t>usbalancierung der umlaufenden Scrolls sowie die Ölversorgungstechnologie gewährleisten einen zuverlässigen Betrieb über den gesamten Drehzahlbereich.</w:t>
      </w:r>
    </w:p>
    <w:p w14:paraId="7FCF9571" w14:textId="2BD0C776" w:rsidR="00135760" w:rsidRPr="00135760" w:rsidRDefault="00135760" w:rsidP="00247991">
      <w:pPr>
        <w:spacing w:after="160" w:line="360" w:lineRule="auto"/>
        <w:rPr>
          <w:rFonts w:ascii="Tahoma" w:hAnsi="Tahoma" w:cs="Tahoma"/>
          <w:sz w:val="22"/>
        </w:rPr>
      </w:pPr>
      <w:r w:rsidRPr="00135760">
        <w:rPr>
          <w:rFonts w:ascii="Tahoma" w:hAnsi="Tahoma" w:cs="Tahoma"/>
          <w:sz w:val="22"/>
        </w:rPr>
        <w:t>Die CSF Serie wurde für Klima- und Wärmepumpenan</w:t>
      </w:r>
      <w:r w:rsidR="00660B5D">
        <w:rPr>
          <w:rFonts w:ascii="Tahoma" w:hAnsi="Tahoma" w:cs="Tahoma"/>
          <w:sz w:val="22"/>
        </w:rPr>
        <w:t>la</w:t>
      </w:r>
      <w:r w:rsidRPr="00135760">
        <w:rPr>
          <w:rFonts w:ascii="Tahoma" w:hAnsi="Tahoma" w:cs="Tahoma"/>
          <w:sz w:val="22"/>
        </w:rPr>
        <w:t xml:space="preserve">gen entwickelt. Sie zeichnet sich durch hohe Effizienz, einen großen Einsatzbereich und ein robustes, zuverlässiges Design aus. Das optimierte Scrollprofil und das durchdachte Gesamtdesign machen die Serie besonders geeignet für den Einsatz in Flüssigkeitskühlsätzen. Sie </w:t>
      </w:r>
      <w:r w:rsidR="00660B5D" w:rsidRPr="00135760">
        <w:rPr>
          <w:rFonts w:ascii="Tahoma" w:hAnsi="Tahoma" w:cs="Tahoma"/>
          <w:sz w:val="22"/>
        </w:rPr>
        <w:t>ermöglich</w:t>
      </w:r>
      <w:r w:rsidR="00660B5D">
        <w:rPr>
          <w:rFonts w:ascii="Tahoma" w:hAnsi="Tahoma" w:cs="Tahoma"/>
          <w:sz w:val="22"/>
        </w:rPr>
        <w:t>t</w:t>
      </w:r>
      <w:r w:rsidR="00660B5D" w:rsidRPr="00135760">
        <w:rPr>
          <w:rFonts w:ascii="Tahoma" w:hAnsi="Tahoma" w:cs="Tahoma"/>
          <w:sz w:val="22"/>
        </w:rPr>
        <w:t xml:space="preserve"> </w:t>
      </w:r>
      <w:r w:rsidRPr="00135760">
        <w:rPr>
          <w:rFonts w:ascii="Tahoma" w:hAnsi="Tahoma" w:cs="Tahoma"/>
          <w:sz w:val="22"/>
        </w:rPr>
        <w:t>kompakte Anlagenlayouts, einen geräuscharmen Betrieb und eine starke Teillastleistung mit hervorragenden IPLV‑Werten.</w:t>
      </w:r>
      <w:r>
        <w:rPr>
          <w:rFonts w:ascii="Tahoma" w:hAnsi="Tahoma" w:cs="Tahoma"/>
          <w:sz w:val="22"/>
        </w:rPr>
        <w:t xml:space="preserve"> </w:t>
      </w:r>
    </w:p>
    <w:p w14:paraId="67763B2B" w14:textId="03B66062" w:rsidR="00135760" w:rsidRPr="00EE3D38" w:rsidRDefault="00135760" w:rsidP="000272BC">
      <w:pPr>
        <w:spacing w:before="240" w:line="360" w:lineRule="auto"/>
        <w:rPr>
          <w:rFonts w:ascii="Tahoma" w:hAnsi="Tahoma" w:cs="Tahoma"/>
          <w:b/>
          <w:bCs/>
          <w:sz w:val="22"/>
          <w:szCs w:val="22"/>
        </w:rPr>
      </w:pPr>
      <w:r w:rsidRPr="00EE3D38">
        <w:rPr>
          <w:rFonts w:ascii="Tahoma" w:hAnsi="Tahoma" w:cs="Tahoma"/>
          <w:b/>
          <w:bCs/>
          <w:sz w:val="22"/>
          <w:szCs w:val="22"/>
        </w:rPr>
        <w:t xml:space="preserve">BITZER optimierte Lösungen und </w:t>
      </w:r>
      <w:r w:rsidRPr="007E4963">
        <w:rPr>
          <w:rFonts w:ascii="Tahoma" w:hAnsi="Tahoma" w:cs="Tahoma"/>
          <w:b/>
          <w:bCs/>
          <w:sz w:val="22"/>
          <w:szCs w:val="22"/>
        </w:rPr>
        <w:t>Services</w:t>
      </w:r>
    </w:p>
    <w:p w14:paraId="0292E4A0" w14:textId="7B409798" w:rsidR="00135760" w:rsidRDefault="00135760" w:rsidP="00135760">
      <w:pPr>
        <w:spacing w:before="240" w:line="360" w:lineRule="auto"/>
        <w:rPr>
          <w:rFonts w:ascii="Tahoma" w:hAnsi="Tahoma"/>
          <w:sz w:val="22"/>
          <w:szCs w:val="22"/>
        </w:rPr>
      </w:pPr>
      <w:r w:rsidRPr="00135760">
        <w:rPr>
          <w:rFonts w:ascii="Tahoma" w:hAnsi="Tahoma"/>
          <w:sz w:val="22"/>
          <w:szCs w:val="22"/>
        </w:rPr>
        <w:t>BITZER stärkt seine Position als globaler Serviceanbieter mit einem umfassenden Netzwerk, zu dem auch die weltweiten GREEN</w:t>
      </w:r>
      <w:r w:rsidR="009E67E9">
        <w:rPr>
          <w:rFonts w:ascii="Tahoma" w:hAnsi="Tahoma"/>
          <w:sz w:val="22"/>
          <w:szCs w:val="22"/>
        </w:rPr>
        <w:t xml:space="preserve"> P</w:t>
      </w:r>
      <w:r w:rsidRPr="00135760">
        <w:rPr>
          <w:rFonts w:ascii="Tahoma" w:hAnsi="Tahoma"/>
          <w:sz w:val="22"/>
          <w:szCs w:val="22"/>
        </w:rPr>
        <w:t>OINT</w:t>
      </w:r>
      <w:r w:rsidR="009E67E9">
        <w:rPr>
          <w:rFonts w:ascii="Tahoma" w:hAnsi="Tahoma"/>
          <w:sz w:val="22"/>
          <w:szCs w:val="22"/>
        </w:rPr>
        <w:t xml:space="preserve"> </w:t>
      </w:r>
      <w:r w:rsidRPr="00135760">
        <w:rPr>
          <w:rFonts w:ascii="Tahoma" w:hAnsi="Tahoma"/>
          <w:sz w:val="22"/>
          <w:szCs w:val="22"/>
        </w:rPr>
        <w:t>Zentren gehören. So profitieren Kunden und Partner von hoher Benutzerfreundlichkeit, fundiertem technischen Know‑how und langen Systemlaufzeiten. Von der Inbetriebnahme und Wartung bis hin zu Modernisierung und Remanufacturing bietet BITZER Services zuverlässige Unterstützung, Original</w:t>
      </w:r>
      <w:r w:rsidR="000019B3">
        <w:rPr>
          <w:rFonts w:ascii="Tahoma" w:hAnsi="Tahoma"/>
          <w:sz w:val="22"/>
          <w:szCs w:val="22"/>
        </w:rPr>
        <w:t>e</w:t>
      </w:r>
      <w:r w:rsidRPr="00135760">
        <w:rPr>
          <w:rFonts w:ascii="Tahoma" w:hAnsi="Tahoma"/>
          <w:sz w:val="22"/>
          <w:szCs w:val="22"/>
        </w:rPr>
        <w:t>rsatzteile und ‑</w:t>
      </w:r>
      <w:r w:rsidR="000019B3">
        <w:rPr>
          <w:rFonts w:ascii="Tahoma" w:hAnsi="Tahoma"/>
          <w:sz w:val="22"/>
          <w:szCs w:val="22"/>
        </w:rPr>
        <w:t>ö</w:t>
      </w:r>
      <w:r w:rsidRPr="00135760">
        <w:rPr>
          <w:rFonts w:ascii="Tahoma" w:hAnsi="Tahoma"/>
          <w:sz w:val="22"/>
          <w:szCs w:val="22"/>
        </w:rPr>
        <w:t>le, schnelle Diagnosen und Zugang zu dem Expertenwissen, das die Qualität von BITZER ausmacht.</w:t>
      </w:r>
      <w:r>
        <w:rPr>
          <w:rFonts w:ascii="Tahoma" w:hAnsi="Tahoma"/>
          <w:sz w:val="22"/>
          <w:szCs w:val="22"/>
        </w:rPr>
        <w:t xml:space="preserve"> </w:t>
      </w:r>
      <w:r w:rsidRPr="00135760">
        <w:rPr>
          <w:rFonts w:ascii="Tahoma" w:hAnsi="Tahoma"/>
          <w:sz w:val="22"/>
          <w:szCs w:val="22"/>
        </w:rPr>
        <w:t>„Unsere Kunden verlassen sich bei BITZER nicht nur auf innovative Komponenten, sondern auf langfristige Sicherheit und Erfolg“, sagt Biao Feng, Senior Vice President Sales und Managing Director von BITZER Greater China. „Mit unserem Servicenetzwerk, einschließlich GREEN POINT, stellen wir sicher, dass sie über den gesamten Produktlebenszyklus hinweg eine gleichbleibend hochwertige Betreuung erhalten.“</w:t>
      </w:r>
    </w:p>
    <w:p w14:paraId="2905E768" w14:textId="4695F989" w:rsidR="007108D1" w:rsidRPr="00135760" w:rsidRDefault="007108D1" w:rsidP="00135760">
      <w:pPr>
        <w:spacing w:before="240" w:line="360" w:lineRule="auto"/>
        <w:jc w:val="center"/>
        <w:rPr>
          <w:rFonts w:ascii="Arial" w:hAnsi="Arial"/>
          <w:sz w:val="22"/>
        </w:rPr>
      </w:pPr>
      <w:r w:rsidRPr="00135760">
        <w:rPr>
          <w:rFonts w:ascii="Arial" w:hAnsi="Arial"/>
          <w:sz w:val="22"/>
        </w:rPr>
        <w:lastRenderedPageBreak/>
        <w:t>■</w:t>
      </w:r>
    </w:p>
    <w:p w14:paraId="0FA7168B" w14:textId="77777777" w:rsidR="00900CBB" w:rsidRDefault="00900CBB" w:rsidP="00900CBB">
      <w:pPr>
        <w:spacing w:line="360" w:lineRule="auto"/>
        <w:ind w:right="112"/>
        <w:jc w:val="both"/>
        <w:rPr>
          <w:rFonts w:ascii="Tahoma" w:hAnsi="Tahoma"/>
          <w:sz w:val="20"/>
        </w:rPr>
      </w:pPr>
      <w:r w:rsidRPr="005876BA">
        <w:rPr>
          <w:rFonts w:ascii="Tahoma" w:hAnsi="Tahoma"/>
          <w:sz w:val="20"/>
        </w:rPr>
        <w:t xml:space="preserve">Als unabhängiger Spezialist für Kälte- und Klimatechnik sowie Wärmepumpentechnologie ist BITZER weltweit im Einsatz: Mit Produkten und Dienstleistungen für Kältetechnik, Klimatisierung, Prozesskühlung und Transport sorgt BITZER für optimale Temperaturbedingungen in Warenhandel, Industrieprozessen und Raumklimatisierung – immer vor dem Hintergrund größtmöglicher Energieeffizienz und Qualität. </w:t>
      </w:r>
      <w:r w:rsidRPr="00ED3301">
        <w:rPr>
          <w:rFonts w:ascii="Tahoma" w:hAnsi="Tahoma"/>
          <w:sz w:val="20"/>
        </w:rPr>
        <w:t>Mit Vertriebsgesellschaften und Produktionsstätten ist die BITZER Firmengruppe weltweit an 7</w:t>
      </w:r>
      <w:r>
        <w:rPr>
          <w:rFonts w:ascii="Tahoma" w:hAnsi="Tahoma"/>
          <w:sz w:val="20"/>
        </w:rPr>
        <w:t>4</w:t>
      </w:r>
      <w:r w:rsidRPr="00ED3301">
        <w:rPr>
          <w:rFonts w:ascii="Tahoma" w:hAnsi="Tahoma"/>
          <w:sz w:val="20"/>
        </w:rPr>
        <w:t xml:space="preserve"> Standorten in 4</w:t>
      </w:r>
      <w:r>
        <w:rPr>
          <w:rFonts w:ascii="Tahoma" w:hAnsi="Tahoma"/>
          <w:sz w:val="20"/>
        </w:rPr>
        <w:t>0</w:t>
      </w:r>
      <w:r w:rsidRPr="00ED3301">
        <w:rPr>
          <w:rFonts w:ascii="Tahoma" w:hAnsi="Tahoma"/>
          <w:sz w:val="20"/>
        </w:rPr>
        <w:t xml:space="preserve"> Ländern vertreten. Inklusive Handels- und Dienstleistungspartnern erstreckt sich der Fertigungs-, Entwicklungs- und Vertriebsverbund von BITZER über fast alle Länder der Welt. Im Jahr 202</w:t>
      </w:r>
      <w:r>
        <w:rPr>
          <w:rFonts w:ascii="Tahoma" w:hAnsi="Tahoma"/>
          <w:sz w:val="20"/>
        </w:rPr>
        <w:t>5</w:t>
      </w:r>
      <w:r w:rsidRPr="00ED3301">
        <w:rPr>
          <w:rFonts w:ascii="Tahoma" w:hAnsi="Tahoma"/>
          <w:sz w:val="20"/>
        </w:rPr>
        <w:t xml:space="preserve"> erwirtschafteten 4500 Mitarbeitende einen Umsatz von 1,1</w:t>
      </w:r>
      <w:r>
        <w:rPr>
          <w:rFonts w:ascii="Tahoma" w:hAnsi="Tahoma"/>
          <w:sz w:val="20"/>
        </w:rPr>
        <w:t>35</w:t>
      </w:r>
      <w:r w:rsidRPr="00ED3301">
        <w:rPr>
          <w:rFonts w:ascii="Tahoma" w:hAnsi="Tahoma"/>
          <w:sz w:val="20"/>
        </w:rPr>
        <w:t xml:space="preserve"> Milliarden Euro, der Aufwand für Forschung und Entwicklung lag bei 67 Millionen Euro.</w:t>
      </w:r>
    </w:p>
    <w:p w14:paraId="18188A78" w14:textId="77777777" w:rsidR="00900CBB" w:rsidRDefault="00900CBB" w:rsidP="00900CBB">
      <w:pPr>
        <w:spacing w:before="240" w:line="360" w:lineRule="auto"/>
        <w:ind w:right="112"/>
        <w:jc w:val="both"/>
        <w:rPr>
          <w:rFonts w:ascii="Tahoma" w:hAnsi="Tahoma"/>
          <w:sz w:val="20"/>
        </w:rPr>
      </w:pPr>
      <w:hyperlink r:id="rId14" w:history="1">
        <w:r w:rsidRPr="007A32D0">
          <w:rPr>
            <w:rStyle w:val="Hyperlink"/>
            <w:rFonts w:ascii="Tahoma" w:hAnsi="Tahoma"/>
            <w:sz w:val="20"/>
          </w:rPr>
          <w:t>www.bitzer.de</w:t>
        </w:r>
      </w:hyperlink>
    </w:p>
    <w:p w14:paraId="0084EB60" w14:textId="77777777" w:rsidR="00900CBB" w:rsidRDefault="00900CBB" w:rsidP="00900CBB">
      <w:pPr>
        <w:spacing w:before="240" w:line="360" w:lineRule="auto"/>
        <w:ind w:right="112"/>
        <w:jc w:val="both"/>
        <w:rPr>
          <w:rFonts w:ascii="Tahoma" w:hAnsi="Tahoma"/>
          <w:b/>
          <w:sz w:val="20"/>
        </w:rPr>
      </w:pPr>
    </w:p>
    <w:p w14:paraId="064663D2" w14:textId="77777777" w:rsidR="00900CBB" w:rsidRPr="00681E94" w:rsidRDefault="00900CBB" w:rsidP="00900CBB">
      <w:pPr>
        <w:spacing w:before="240" w:line="360" w:lineRule="auto"/>
        <w:ind w:right="112"/>
        <w:jc w:val="both"/>
        <w:rPr>
          <w:rFonts w:ascii="Tahoma" w:hAnsi="Tahoma"/>
          <w:sz w:val="20"/>
        </w:rPr>
      </w:pPr>
      <w:r w:rsidRPr="00681E94">
        <w:rPr>
          <w:rFonts w:ascii="Tahoma" w:hAnsi="Tahoma"/>
          <w:b/>
          <w:sz w:val="20"/>
        </w:rPr>
        <w:t>Bildübersicht</w:t>
      </w:r>
    </w:p>
    <w:p w14:paraId="55702DA1" w14:textId="77777777" w:rsidR="00900CBB" w:rsidRDefault="00900CBB" w:rsidP="00900CBB">
      <w:pPr>
        <w:spacing w:before="240" w:line="360" w:lineRule="auto"/>
        <w:ind w:right="112"/>
        <w:jc w:val="both"/>
        <w:rPr>
          <w:rFonts w:ascii="Tahoma" w:hAnsi="Tahoma"/>
          <w:sz w:val="20"/>
        </w:rPr>
      </w:pPr>
      <w:r w:rsidRPr="00681E94">
        <w:rPr>
          <w:rFonts w:ascii="Tahoma" w:hAnsi="Tahoma"/>
          <w:sz w:val="20"/>
        </w:rPr>
        <w:t xml:space="preserve">Die Bildmotive dürfen nur zu redaktionellen Zwecken genutzt werden. Die Verwendung ist honorarfrei bei Quellenangabe „Foto: BITZER“ und Übersendung eines kostenlosen Belegexemplars. Grafische Veränderungen – außer zum Freistellen des Hauptmotivs – sind nicht gestattet. </w:t>
      </w:r>
    </w:p>
    <w:p w14:paraId="039F444D" w14:textId="77777777" w:rsidR="00EE3D38" w:rsidRPr="009E67E9" w:rsidRDefault="00EE3D38" w:rsidP="00EE3D38">
      <w:pPr>
        <w:spacing w:before="240" w:line="360" w:lineRule="auto"/>
        <w:ind w:right="112"/>
        <w:jc w:val="both"/>
        <w:rPr>
          <w:rFonts w:ascii="Tahoma" w:hAnsi="Tahoma"/>
          <w:sz w:val="22"/>
          <w:szCs w:val="22"/>
        </w:rPr>
      </w:pPr>
      <w:r>
        <w:rPr>
          <w:noProof/>
        </w:rPr>
        <w:drawing>
          <wp:anchor distT="0" distB="0" distL="114300" distR="114300" simplePos="0" relativeHeight="251659264" behindDoc="0" locked="0" layoutInCell="1" allowOverlap="1" wp14:anchorId="6B4138E9" wp14:editId="40313E80">
            <wp:simplePos x="0" y="0"/>
            <wp:positionH relativeFrom="margin">
              <wp:align>left</wp:align>
            </wp:positionH>
            <wp:positionV relativeFrom="paragraph">
              <wp:posOffset>331</wp:posOffset>
            </wp:positionV>
            <wp:extent cx="3450590" cy="3450590"/>
            <wp:effectExtent l="0" t="0" r="0" b="0"/>
            <wp:wrapThrough wrapText="bothSides">
              <wp:wrapPolygon edited="0">
                <wp:start x="0" y="0"/>
                <wp:lineTo x="0" y="21465"/>
                <wp:lineTo x="21465" y="21465"/>
                <wp:lineTo x="21465" y="0"/>
                <wp:lineTo x="0" y="0"/>
              </wp:wrapPolygon>
            </wp:wrapThrough>
            <wp:docPr id="301307472" name="Grafik 4" descr="Ein Bild, das Maschine, Motor, Autoteile, Grü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in Bild, das Maschine, Motor, Autoteile, Grün enthält.&#10;&#10;KI-generierte Inhalte können fehlerhaft sei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6257" cy="34562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67E9">
        <w:rPr>
          <w:rFonts w:ascii="Tahoma" w:hAnsi="Tahoma"/>
          <w:sz w:val="22"/>
          <w:szCs w:val="22"/>
        </w:rPr>
        <w:t>  </w:t>
      </w:r>
    </w:p>
    <w:p w14:paraId="100BE098" w14:textId="77777777" w:rsidR="00EE3D38" w:rsidRPr="009E67E9" w:rsidRDefault="00EE3D38" w:rsidP="00EE3D38">
      <w:pPr>
        <w:spacing w:before="240" w:line="360" w:lineRule="auto"/>
        <w:ind w:right="112"/>
        <w:rPr>
          <w:rFonts w:ascii="Tahoma" w:hAnsi="Tahoma"/>
          <w:sz w:val="22"/>
          <w:szCs w:val="22"/>
        </w:rPr>
      </w:pPr>
    </w:p>
    <w:p w14:paraId="32B3D78C" w14:textId="77777777" w:rsidR="00EE3D38" w:rsidRPr="009E67E9" w:rsidRDefault="00EE3D38" w:rsidP="00EE3D38">
      <w:pPr>
        <w:spacing w:before="240" w:line="360" w:lineRule="auto"/>
        <w:ind w:right="112"/>
        <w:rPr>
          <w:rFonts w:ascii="Tahoma" w:hAnsi="Tahoma"/>
          <w:sz w:val="22"/>
          <w:szCs w:val="22"/>
        </w:rPr>
      </w:pPr>
    </w:p>
    <w:p w14:paraId="3860F5C5" w14:textId="77777777" w:rsidR="00EE3D38" w:rsidRPr="009E67E9" w:rsidRDefault="00EE3D38" w:rsidP="00EE3D38">
      <w:pPr>
        <w:spacing w:before="240" w:line="360" w:lineRule="auto"/>
        <w:ind w:right="112"/>
        <w:rPr>
          <w:rFonts w:ascii="Tahoma" w:hAnsi="Tahoma"/>
          <w:sz w:val="22"/>
          <w:szCs w:val="22"/>
        </w:rPr>
      </w:pPr>
    </w:p>
    <w:p w14:paraId="7AC14D38" w14:textId="77777777" w:rsidR="00EE3D38" w:rsidRPr="009E67E9" w:rsidRDefault="00EE3D38" w:rsidP="00EE3D38">
      <w:pPr>
        <w:spacing w:before="240" w:line="360" w:lineRule="auto"/>
        <w:ind w:right="112"/>
        <w:rPr>
          <w:rFonts w:ascii="Tahoma" w:hAnsi="Tahoma"/>
          <w:sz w:val="22"/>
          <w:szCs w:val="22"/>
        </w:rPr>
      </w:pPr>
    </w:p>
    <w:p w14:paraId="64BC688F" w14:textId="77777777" w:rsidR="00EE3D38" w:rsidRPr="009E67E9" w:rsidRDefault="00EE3D38" w:rsidP="00EE3D38">
      <w:pPr>
        <w:spacing w:before="240" w:line="360" w:lineRule="auto"/>
        <w:ind w:right="112"/>
        <w:rPr>
          <w:rFonts w:ascii="Tahoma" w:hAnsi="Tahoma"/>
          <w:sz w:val="22"/>
          <w:szCs w:val="22"/>
        </w:rPr>
      </w:pPr>
    </w:p>
    <w:p w14:paraId="2B0422AC" w14:textId="77777777" w:rsidR="00EE3D38" w:rsidRPr="009E67E9" w:rsidRDefault="00EE3D38" w:rsidP="00EE3D38">
      <w:pPr>
        <w:spacing w:before="240" w:line="360" w:lineRule="auto"/>
        <w:ind w:right="112"/>
        <w:rPr>
          <w:rFonts w:ascii="Tahoma" w:hAnsi="Tahoma"/>
          <w:sz w:val="22"/>
          <w:szCs w:val="22"/>
        </w:rPr>
      </w:pPr>
    </w:p>
    <w:p w14:paraId="58B2E977" w14:textId="77777777" w:rsidR="00EE3D38" w:rsidRPr="009E67E9" w:rsidRDefault="00EE3D38" w:rsidP="00EE3D38">
      <w:pPr>
        <w:spacing w:before="240" w:line="360" w:lineRule="auto"/>
        <w:ind w:right="112"/>
        <w:rPr>
          <w:rFonts w:ascii="Tahoma" w:hAnsi="Tahoma"/>
          <w:sz w:val="22"/>
          <w:szCs w:val="22"/>
        </w:rPr>
      </w:pPr>
    </w:p>
    <w:p w14:paraId="62B350EC" w14:textId="77777777" w:rsidR="00EE3D38" w:rsidRPr="009E67E9" w:rsidRDefault="00EE3D38" w:rsidP="00EE3D38">
      <w:pPr>
        <w:spacing w:before="240" w:line="360" w:lineRule="auto"/>
        <w:ind w:right="112"/>
        <w:rPr>
          <w:rFonts w:ascii="Tahoma" w:hAnsi="Tahoma"/>
          <w:sz w:val="22"/>
          <w:szCs w:val="22"/>
        </w:rPr>
      </w:pPr>
    </w:p>
    <w:p w14:paraId="14344DA5" w14:textId="2B1A2B0D" w:rsidR="00EE3D38" w:rsidRPr="00EE3D38" w:rsidRDefault="00EE3D38" w:rsidP="00EE3D38">
      <w:pPr>
        <w:spacing w:before="240" w:line="360" w:lineRule="auto"/>
        <w:ind w:right="112"/>
        <w:rPr>
          <w:rFonts w:ascii="Tahoma" w:hAnsi="Tahoma"/>
          <w:sz w:val="22"/>
          <w:szCs w:val="22"/>
        </w:rPr>
      </w:pPr>
      <w:r w:rsidRPr="00EE3D38">
        <w:rPr>
          <w:rFonts w:ascii="Tahoma" w:hAnsi="Tahoma"/>
          <w:sz w:val="22"/>
          <w:szCs w:val="22"/>
        </w:rPr>
        <w:t>Bild 1: Bewährte ECOLINE 8-Zylinder-Hubkolbenverdichter für transkritische</w:t>
      </w:r>
      <w:r>
        <w:rPr>
          <w:rFonts w:ascii="Tahoma" w:hAnsi="Tahoma"/>
          <w:sz w:val="22"/>
          <w:szCs w:val="22"/>
        </w:rPr>
        <w:t xml:space="preserve"> </w:t>
      </w:r>
      <w:r w:rsidRPr="00EE3D38">
        <w:rPr>
          <w:rFonts w:ascii="Tahoma" w:hAnsi="Tahoma"/>
          <w:sz w:val="22"/>
          <w:szCs w:val="22"/>
        </w:rPr>
        <w:t>CO</w:t>
      </w:r>
      <w:r w:rsidRPr="00EE3D38">
        <w:rPr>
          <w:rFonts w:ascii="Tahoma" w:hAnsi="Tahoma"/>
          <w:sz w:val="22"/>
          <w:szCs w:val="22"/>
          <w:vertAlign w:val="subscript"/>
        </w:rPr>
        <w:t>2</w:t>
      </w:r>
      <w:r>
        <w:rPr>
          <w:rFonts w:ascii="Tahoma" w:hAnsi="Tahoma"/>
          <w:sz w:val="22"/>
          <w:szCs w:val="22"/>
        </w:rPr>
        <w:t>-Anwendungen</w:t>
      </w:r>
    </w:p>
    <w:p w14:paraId="3593799A" w14:textId="77777777" w:rsidR="00EE3D38" w:rsidRPr="00EE3D38" w:rsidRDefault="00EE3D38" w:rsidP="00EE3D38">
      <w:pPr>
        <w:spacing w:before="240" w:line="360" w:lineRule="auto"/>
        <w:ind w:right="112"/>
        <w:rPr>
          <w:rFonts w:ascii="Tahoma" w:hAnsi="Tahoma"/>
          <w:sz w:val="22"/>
          <w:szCs w:val="22"/>
        </w:rPr>
      </w:pPr>
      <w:r>
        <w:rPr>
          <w:rFonts w:ascii="Tahoma" w:hAnsi="Tahoma"/>
          <w:noProof/>
          <w:sz w:val="22"/>
          <w:szCs w:val="22"/>
          <w:lang w:val="en-US"/>
        </w:rPr>
        <w:lastRenderedPageBreak/>
        <w:drawing>
          <wp:anchor distT="0" distB="0" distL="114300" distR="114300" simplePos="0" relativeHeight="251660288" behindDoc="0" locked="0" layoutInCell="1" allowOverlap="1" wp14:anchorId="3C379815" wp14:editId="3BD22077">
            <wp:simplePos x="0" y="0"/>
            <wp:positionH relativeFrom="margin">
              <wp:align>left</wp:align>
            </wp:positionH>
            <wp:positionV relativeFrom="paragraph">
              <wp:posOffset>157646</wp:posOffset>
            </wp:positionV>
            <wp:extent cx="2205990" cy="3013075"/>
            <wp:effectExtent l="0" t="0" r="0" b="0"/>
            <wp:wrapThrough wrapText="bothSides">
              <wp:wrapPolygon edited="0">
                <wp:start x="10259" y="1639"/>
                <wp:lineTo x="6342" y="2595"/>
                <wp:lineTo x="5969" y="2868"/>
                <wp:lineTo x="5782" y="8467"/>
                <wp:lineTo x="6528" y="10652"/>
                <wp:lineTo x="5969" y="17207"/>
                <wp:lineTo x="5036" y="18709"/>
                <wp:lineTo x="4850" y="19665"/>
                <wp:lineTo x="8021" y="20212"/>
                <wp:lineTo x="15482" y="20212"/>
                <wp:lineTo x="15668" y="19938"/>
                <wp:lineTo x="16974" y="19392"/>
                <wp:lineTo x="15855" y="15022"/>
                <wp:lineTo x="19212" y="12837"/>
                <wp:lineTo x="19585" y="7238"/>
                <wp:lineTo x="18653" y="6692"/>
                <wp:lineTo x="15668" y="6282"/>
                <wp:lineTo x="16228" y="3004"/>
                <wp:lineTo x="15668" y="2595"/>
                <wp:lineTo x="11565" y="1639"/>
                <wp:lineTo x="10259" y="1639"/>
              </wp:wrapPolygon>
            </wp:wrapThrough>
            <wp:docPr id="197945513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2865" t="13748" r="26918" b="17655"/>
                    <a:stretch>
                      <a:fillRect/>
                    </a:stretch>
                  </pic:blipFill>
                  <pic:spPr bwMode="auto">
                    <a:xfrm>
                      <a:off x="0" y="0"/>
                      <a:ext cx="2208879" cy="30173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5ACC76F" w14:textId="77777777" w:rsidR="00EE3D38" w:rsidRPr="00EE3D38" w:rsidRDefault="00EE3D38" w:rsidP="00EE3D38">
      <w:pPr>
        <w:spacing w:before="240" w:line="360" w:lineRule="auto"/>
        <w:ind w:right="112"/>
        <w:rPr>
          <w:rFonts w:ascii="Tahoma" w:hAnsi="Tahoma"/>
          <w:sz w:val="22"/>
          <w:szCs w:val="22"/>
        </w:rPr>
      </w:pPr>
    </w:p>
    <w:p w14:paraId="006BD9E6" w14:textId="77777777" w:rsidR="00EE3D38" w:rsidRPr="00EE3D38" w:rsidRDefault="00EE3D38" w:rsidP="00EE3D38">
      <w:pPr>
        <w:spacing w:before="240" w:line="360" w:lineRule="auto"/>
        <w:ind w:right="112"/>
        <w:rPr>
          <w:rFonts w:ascii="Tahoma" w:hAnsi="Tahoma"/>
          <w:sz w:val="22"/>
          <w:szCs w:val="22"/>
        </w:rPr>
      </w:pPr>
    </w:p>
    <w:p w14:paraId="449307AC" w14:textId="77777777" w:rsidR="00EE3D38" w:rsidRPr="00EE3D38" w:rsidRDefault="00EE3D38" w:rsidP="00EE3D38">
      <w:pPr>
        <w:spacing w:before="240" w:line="360" w:lineRule="auto"/>
        <w:ind w:right="112"/>
        <w:rPr>
          <w:rFonts w:ascii="Tahoma" w:hAnsi="Tahoma"/>
          <w:sz w:val="22"/>
          <w:szCs w:val="22"/>
        </w:rPr>
      </w:pPr>
    </w:p>
    <w:p w14:paraId="579A3763" w14:textId="77777777" w:rsidR="00EE3D38" w:rsidRPr="00EE3D38" w:rsidRDefault="00EE3D38" w:rsidP="00EE3D38">
      <w:pPr>
        <w:spacing w:before="240" w:line="360" w:lineRule="auto"/>
        <w:ind w:right="112"/>
        <w:rPr>
          <w:rFonts w:ascii="Tahoma" w:hAnsi="Tahoma"/>
          <w:sz w:val="22"/>
          <w:szCs w:val="22"/>
        </w:rPr>
      </w:pPr>
    </w:p>
    <w:p w14:paraId="524BB777" w14:textId="77777777" w:rsidR="00EE3D38" w:rsidRPr="00EE3D38" w:rsidRDefault="00EE3D38" w:rsidP="00EE3D38">
      <w:pPr>
        <w:spacing w:before="240" w:line="360" w:lineRule="auto"/>
        <w:ind w:right="112"/>
        <w:rPr>
          <w:rFonts w:ascii="Tahoma" w:hAnsi="Tahoma"/>
          <w:sz w:val="22"/>
          <w:szCs w:val="22"/>
        </w:rPr>
      </w:pPr>
    </w:p>
    <w:p w14:paraId="3DCA3CA7" w14:textId="77777777" w:rsidR="00EE3D38" w:rsidRPr="00EE3D38" w:rsidRDefault="00EE3D38" w:rsidP="00EE3D38">
      <w:pPr>
        <w:spacing w:before="240" w:line="360" w:lineRule="auto"/>
        <w:ind w:right="112"/>
        <w:rPr>
          <w:rFonts w:ascii="Tahoma" w:hAnsi="Tahoma"/>
          <w:sz w:val="22"/>
          <w:szCs w:val="22"/>
        </w:rPr>
      </w:pPr>
    </w:p>
    <w:p w14:paraId="1285A624" w14:textId="77777777" w:rsidR="00EE3D38" w:rsidRPr="00EE3D38" w:rsidRDefault="00EE3D38" w:rsidP="00EE3D38">
      <w:pPr>
        <w:spacing w:before="240" w:line="360" w:lineRule="auto"/>
        <w:ind w:right="112"/>
        <w:rPr>
          <w:rFonts w:ascii="Tahoma" w:hAnsi="Tahoma"/>
          <w:sz w:val="22"/>
          <w:szCs w:val="22"/>
        </w:rPr>
      </w:pPr>
    </w:p>
    <w:p w14:paraId="3E90FF0D" w14:textId="7861C6A5" w:rsidR="00EE3D38" w:rsidRPr="00EE3D38" w:rsidRDefault="00EE3D38" w:rsidP="00EE3D38">
      <w:pPr>
        <w:spacing w:before="240" w:line="360" w:lineRule="auto"/>
        <w:ind w:right="112"/>
        <w:rPr>
          <w:rFonts w:ascii="Tahoma" w:hAnsi="Tahoma" w:cs="Tahoma"/>
          <w:sz w:val="22"/>
        </w:rPr>
      </w:pPr>
      <w:r w:rsidRPr="00EE3D38">
        <w:rPr>
          <w:rFonts w:ascii="Tahoma" w:hAnsi="Tahoma"/>
          <w:sz w:val="22"/>
          <w:szCs w:val="22"/>
        </w:rPr>
        <w:t xml:space="preserve">Bild 2: Die drehzahlgeregelten Scrollverdichter der CEFV </w:t>
      </w:r>
      <w:r>
        <w:rPr>
          <w:rFonts w:ascii="Tahoma" w:hAnsi="Tahoma"/>
          <w:sz w:val="22"/>
          <w:szCs w:val="22"/>
        </w:rPr>
        <w:t>Serie</w:t>
      </w:r>
      <w:r w:rsidRPr="00EE3D38">
        <w:rPr>
          <w:rFonts w:ascii="Tahoma" w:hAnsi="Tahoma"/>
          <w:sz w:val="22"/>
          <w:szCs w:val="22"/>
        </w:rPr>
        <w:t xml:space="preserve"> sind für Wärmepumpenanwendungen mit hohen Druckverhältnissen bei niedrigen Umgebungstemperaturen optimiert</w:t>
      </w:r>
    </w:p>
    <w:p w14:paraId="3278C19E" w14:textId="77777777" w:rsidR="00EE3D38" w:rsidRPr="00EE3D38" w:rsidRDefault="00EE3D38" w:rsidP="00EE3D38">
      <w:pPr>
        <w:spacing w:before="240" w:line="360" w:lineRule="auto"/>
        <w:ind w:right="112"/>
        <w:rPr>
          <w:rFonts w:ascii="Tahoma" w:hAnsi="Tahoma"/>
          <w:sz w:val="22"/>
          <w:szCs w:val="22"/>
        </w:rPr>
      </w:pPr>
    </w:p>
    <w:p w14:paraId="32C1D03D" w14:textId="77777777" w:rsidR="00EE3D38" w:rsidRPr="00EE3D38" w:rsidRDefault="00EE3D38" w:rsidP="00EE3D38">
      <w:pPr>
        <w:spacing w:before="240" w:line="360" w:lineRule="auto"/>
        <w:ind w:right="112"/>
        <w:jc w:val="both"/>
        <w:rPr>
          <w:rFonts w:ascii="Tahoma" w:hAnsi="Tahoma"/>
          <w:sz w:val="22"/>
          <w:szCs w:val="22"/>
        </w:rPr>
      </w:pPr>
    </w:p>
    <w:p w14:paraId="505E88E7" w14:textId="77777777" w:rsidR="00EE3D38" w:rsidRPr="00EE3D38" w:rsidRDefault="00EE3D38" w:rsidP="00EE3D38">
      <w:pPr>
        <w:spacing w:before="240" w:line="360" w:lineRule="auto"/>
        <w:ind w:right="112"/>
        <w:jc w:val="both"/>
        <w:rPr>
          <w:rFonts w:ascii="Tahoma" w:hAnsi="Tahoma"/>
          <w:sz w:val="22"/>
          <w:szCs w:val="22"/>
        </w:rPr>
      </w:pPr>
      <w:r w:rsidRPr="00885472">
        <w:rPr>
          <w:rFonts w:ascii="Tahoma" w:hAnsi="Tahoma"/>
          <w:noProof/>
          <w:sz w:val="22"/>
          <w:szCs w:val="22"/>
        </w:rPr>
        <w:drawing>
          <wp:anchor distT="0" distB="0" distL="114300" distR="114300" simplePos="0" relativeHeight="251661312" behindDoc="0" locked="0" layoutInCell="1" allowOverlap="1" wp14:anchorId="07344FF9" wp14:editId="7CECB5A8">
            <wp:simplePos x="0" y="0"/>
            <wp:positionH relativeFrom="column">
              <wp:posOffset>-61098</wp:posOffset>
            </wp:positionH>
            <wp:positionV relativeFrom="paragraph">
              <wp:posOffset>234370</wp:posOffset>
            </wp:positionV>
            <wp:extent cx="3848100" cy="2284095"/>
            <wp:effectExtent l="0" t="0" r="0" b="0"/>
            <wp:wrapThrough wrapText="bothSides">
              <wp:wrapPolygon edited="0">
                <wp:start x="15933" y="3603"/>
                <wp:lineTo x="7806" y="5945"/>
                <wp:lineTo x="5240" y="6485"/>
                <wp:lineTo x="3743" y="8647"/>
                <wp:lineTo x="3208" y="9548"/>
                <wp:lineTo x="1711" y="10809"/>
                <wp:lineTo x="1497" y="11169"/>
                <wp:lineTo x="1497" y="14412"/>
                <wp:lineTo x="1925" y="15493"/>
                <wp:lineTo x="2673" y="15493"/>
                <wp:lineTo x="3743" y="16754"/>
                <wp:lineTo x="3850" y="17114"/>
                <wp:lineTo x="18499" y="17114"/>
                <wp:lineTo x="19354" y="15493"/>
                <wp:lineTo x="19889" y="13511"/>
                <wp:lineTo x="19782" y="12611"/>
                <wp:lineTo x="18820" y="9728"/>
                <wp:lineTo x="19141" y="4324"/>
                <wp:lineTo x="18713" y="3963"/>
                <wp:lineTo x="16360" y="3603"/>
                <wp:lineTo x="15933" y="3603"/>
              </wp:wrapPolygon>
            </wp:wrapThrough>
            <wp:docPr id="5" name="Grafik 4">
              <a:extLst xmlns:a="http://schemas.openxmlformats.org/drawingml/2006/main">
                <a:ext uri="{FF2B5EF4-FFF2-40B4-BE49-F238E27FC236}">
                  <a16:creationId xmlns:a16="http://schemas.microsoft.com/office/drawing/2014/main" id="{D2088D02-AECB-4A50-02EE-FCC0277123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a:extLst>
                        <a:ext uri="{FF2B5EF4-FFF2-40B4-BE49-F238E27FC236}">
                          <a16:creationId xmlns:a16="http://schemas.microsoft.com/office/drawing/2014/main" id="{D2088D02-AECB-4A50-02EE-FCC027712343}"/>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48100" cy="2284095"/>
                    </a:xfrm>
                    <a:prstGeom prst="rect">
                      <a:avLst/>
                    </a:prstGeom>
                  </pic:spPr>
                </pic:pic>
              </a:graphicData>
            </a:graphic>
            <wp14:sizeRelH relativeFrom="page">
              <wp14:pctWidth>0</wp14:pctWidth>
            </wp14:sizeRelH>
            <wp14:sizeRelV relativeFrom="page">
              <wp14:pctHeight>0</wp14:pctHeight>
            </wp14:sizeRelV>
          </wp:anchor>
        </w:drawing>
      </w:r>
    </w:p>
    <w:p w14:paraId="55B6F077" w14:textId="77777777" w:rsidR="00EE3D38" w:rsidRPr="00EE3D38" w:rsidRDefault="00EE3D38" w:rsidP="00EE3D38">
      <w:pPr>
        <w:spacing w:before="240" w:line="360" w:lineRule="auto"/>
        <w:ind w:right="112"/>
        <w:jc w:val="both"/>
        <w:rPr>
          <w:rFonts w:ascii="Tahoma" w:hAnsi="Tahoma"/>
          <w:sz w:val="22"/>
          <w:szCs w:val="22"/>
        </w:rPr>
      </w:pPr>
    </w:p>
    <w:p w14:paraId="6633EA4F" w14:textId="77777777" w:rsidR="00EE3D38" w:rsidRPr="00EE3D38" w:rsidRDefault="00EE3D38" w:rsidP="00EE3D38">
      <w:pPr>
        <w:spacing w:before="240" w:line="360" w:lineRule="auto"/>
        <w:ind w:right="112"/>
        <w:jc w:val="both"/>
        <w:rPr>
          <w:rFonts w:ascii="Tahoma" w:hAnsi="Tahoma"/>
          <w:sz w:val="22"/>
          <w:szCs w:val="22"/>
        </w:rPr>
      </w:pPr>
    </w:p>
    <w:p w14:paraId="70B0B3CF" w14:textId="77777777" w:rsidR="00EE3D38" w:rsidRPr="00EE3D38" w:rsidRDefault="00EE3D38" w:rsidP="00EE3D38">
      <w:pPr>
        <w:spacing w:before="240" w:line="360" w:lineRule="auto"/>
        <w:ind w:right="112"/>
        <w:jc w:val="both"/>
        <w:rPr>
          <w:rFonts w:ascii="Tahoma" w:hAnsi="Tahoma"/>
          <w:sz w:val="22"/>
          <w:szCs w:val="22"/>
        </w:rPr>
      </w:pPr>
    </w:p>
    <w:p w14:paraId="45EF079B" w14:textId="77777777" w:rsidR="00EE3D38" w:rsidRPr="00EE3D38" w:rsidRDefault="00EE3D38" w:rsidP="00EE3D38">
      <w:pPr>
        <w:spacing w:before="240" w:line="360" w:lineRule="auto"/>
        <w:ind w:right="112"/>
        <w:jc w:val="both"/>
        <w:rPr>
          <w:rFonts w:ascii="Tahoma" w:hAnsi="Tahoma"/>
          <w:sz w:val="22"/>
          <w:szCs w:val="22"/>
        </w:rPr>
      </w:pPr>
    </w:p>
    <w:p w14:paraId="7E03A570" w14:textId="77777777" w:rsidR="00EE3D38" w:rsidRPr="00EE3D38" w:rsidRDefault="00EE3D38" w:rsidP="00EE3D38">
      <w:pPr>
        <w:spacing w:before="240" w:line="360" w:lineRule="auto"/>
        <w:ind w:right="112"/>
        <w:jc w:val="both"/>
        <w:rPr>
          <w:rFonts w:ascii="Tahoma" w:hAnsi="Tahoma"/>
          <w:sz w:val="22"/>
          <w:szCs w:val="22"/>
        </w:rPr>
      </w:pPr>
    </w:p>
    <w:p w14:paraId="55977EDF" w14:textId="39F5898D" w:rsidR="00EE3D38" w:rsidRPr="00EE3D38" w:rsidRDefault="00EE3D38" w:rsidP="00EE3D38">
      <w:pPr>
        <w:spacing w:before="240" w:line="360" w:lineRule="auto"/>
        <w:ind w:right="112"/>
        <w:jc w:val="both"/>
        <w:rPr>
          <w:rFonts w:ascii="Tahoma" w:hAnsi="Tahoma"/>
          <w:sz w:val="22"/>
          <w:szCs w:val="22"/>
        </w:rPr>
      </w:pPr>
      <w:r w:rsidRPr="00EE3D38">
        <w:rPr>
          <w:rFonts w:ascii="Tahoma" w:hAnsi="Tahoma"/>
          <w:sz w:val="22"/>
          <w:szCs w:val="22"/>
        </w:rPr>
        <w:t xml:space="preserve">Bild 3: </w:t>
      </w:r>
      <w:r>
        <w:rPr>
          <w:rFonts w:ascii="Tahoma" w:hAnsi="Tahoma"/>
          <w:sz w:val="22"/>
          <w:szCs w:val="22"/>
        </w:rPr>
        <w:t>2-stufige</w:t>
      </w:r>
      <w:r w:rsidRPr="00EE3D38">
        <w:rPr>
          <w:rFonts w:ascii="Tahoma" w:hAnsi="Tahoma"/>
          <w:sz w:val="22"/>
          <w:szCs w:val="22"/>
        </w:rPr>
        <w:t xml:space="preserve"> Schraubenverdichter der SHST </w:t>
      </w:r>
      <w:r>
        <w:rPr>
          <w:rFonts w:ascii="Tahoma" w:hAnsi="Tahoma"/>
          <w:sz w:val="22"/>
          <w:szCs w:val="22"/>
        </w:rPr>
        <w:t>Serie</w:t>
      </w:r>
      <w:r w:rsidRPr="00EE3D38">
        <w:rPr>
          <w:rFonts w:ascii="Tahoma" w:hAnsi="Tahoma"/>
          <w:sz w:val="22"/>
          <w:szCs w:val="22"/>
        </w:rPr>
        <w:t xml:space="preserve"> mit Fördervolumina von 250, 650 und 1350 m³/h bei 50 Hz</w:t>
      </w:r>
    </w:p>
    <w:p w14:paraId="2FEB103F" w14:textId="77777777" w:rsidR="00EE3D38" w:rsidRPr="00EE3D38" w:rsidRDefault="00EE3D38" w:rsidP="00EE3D38">
      <w:pPr>
        <w:spacing w:before="240" w:line="360" w:lineRule="auto"/>
        <w:ind w:right="112"/>
        <w:jc w:val="both"/>
        <w:rPr>
          <w:rFonts w:ascii="Tahoma" w:hAnsi="Tahoma"/>
          <w:sz w:val="22"/>
          <w:szCs w:val="22"/>
        </w:rPr>
      </w:pPr>
    </w:p>
    <w:p w14:paraId="08B20FEC" w14:textId="0ADAB6B0" w:rsidR="007108D1" w:rsidRPr="00EE3D38" w:rsidRDefault="007108D1" w:rsidP="00EE3D38">
      <w:pPr>
        <w:spacing w:before="240" w:line="360" w:lineRule="auto"/>
        <w:ind w:right="112"/>
        <w:jc w:val="both"/>
        <w:rPr>
          <w:rFonts w:ascii="Tahoma" w:hAnsi="Tahoma"/>
          <w:color w:val="A6A6A6" w:themeColor="background1" w:themeShade="A6"/>
          <w:sz w:val="22"/>
          <w:szCs w:val="22"/>
        </w:rPr>
      </w:pPr>
    </w:p>
    <w:sectPr w:rsidR="007108D1" w:rsidRPr="00EE3D38" w:rsidSect="00400B66">
      <w:type w:val="continuous"/>
      <w:pgSz w:w="11906" w:h="16838" w:code="9"/>
      <w:pgMar w:top="1418" w:right="680" w:bottom="1418" w:left="1247"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4BABC" w14:textId="77777777" w:rsidR="001B4BFC" w:rsidRDefault="001B4BFC">
      <w:r>
        <w:separator/>
      </w:r>
    </w:p>
  </w:endnote>
  <w:endnote w:type="continuationSeparator" w:id="0">
    <w:p w14:paraId="5825DFB8" w14:textId="77777777" w:rsidR="001B4BFC" w:rsidRDefault="001B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2D91F" w14:textId="77777777" w:rsidR="006E5B90" w:rsidRPr="00E83359" w:rsidRDefault="006E5B90">
    <w:pPr>
      <w:pStyle w:val="Fuzeile"/>
    </w:pPr>
  </w:p>
  <w:p w14:paraId="473024D2" w14:textId="77777777" w:rsidR="006E5B90" w:rsidRPr="00E83359" w:rsidRDefault="006E5B90">
    <w:pPr>
      <w:pStyle w:val="Fuzeile"/>
    </w:pPr>
  </w:p>
  <w:p w14:paraId="1D016CB9" w14:textId="77777777" w:rsidR="006E5B90" w:rsidRPr="00E83359" w:rsidRDefault="006E5B90">
    <w:pPr>
      <w:pStyle w:val="Fuzeile"/>
    </w:pPr>
  </w:p>
  <w:p w14:paraId="5AB4C647" w14:textId="77777777" w:rsidR="006E5B90" w:rsidRPr="00E83359" w:rsidRDefault="006E5B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E28AF" w14:textId="77777777" w:rsidR="001B4BFC" w:rsidRDefault="001B4BFC">
      <w:r>
        <w:separator/>
      </w:r>
    </w:p>
  </w:footnote>
  <w:footnote w:type="continuationSeparator" w:id="0">
    <w:p w14:paraId="46392984" w14:textId="77777777" w:rsidR="001B4BFC" w:rsidRDefault="001B4BFC">
      <w:r>
        <w:continuationSeparator/>
      </w:r>
    </w:p>
  </w:footnote>
  <w:footnote w:id="1">
    <w:p w14:paraId="568E46CF" w14:textId="27E29B32" w:rsidR="009668C7" w:rsidRPr="007E4963" w:rsidRDefault="009668C7">
      <w:pPr>
        <w:pStyle w:val="Funotentext"/>
        <w:rPr>
          <w:lang w:val="da-DK"/>
        </w:rPr>
      </w:pPr>
      <w:r>
        <w:rPr>
          <w:rStyle w:val="Funotenzeichen"/>
        </w:rPr>
        <w:footnoteRef/>
      </w:r>
      <w:r w:rsidRPr="007E4963">
        <w:rPr>
          <w:lang w:val="da-DK"/>
        </w:rPr>
        <w:t xml:space="preserve"> Vgl. </w:t>
      </w:r>
      <w:hyperlink r:id="rId1" w:tgtFrame="_blank" w:tooltip="https://www.bitzer.de/empco-richtlinie" w:history="1">
        <w:r w:rsidRPr="007E4963">
          <w:rPr>
            <w:rStyle w:val="Hyperlink"/>
            <w:lang w:val="da-DK"/>
          </w:rPr>
          <w:t>www.bitzer.de/empco-richtlinie</w:t>
        </w:r>
      </w:hyperlink>
      <w:r w:rsidR="001C3F0D" w:rsidRPr="007E4963">
        <w:rPr>
          <w:rStyle w:val="Hyperlink"/>
          <w:lang w:val="da-DK"/>
        </w:rPr>
        <w:t>.</w:t>
      </w:r>
      <w:r w:rsidRPr="007E4963">
        <w:rPr>
          <w:lang w:val="da-DK"/>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B112" w14:textId="08F495F0" w:rsidR="006E5B90" w:rsidRPr="007F11B8" w:rsidRDefault="00885D9B" w:rsidP="00403329">
    <w:pPr>
      <w:pStyle w:val="Kopfzeile"/>
      <w:rPr>
        <w:rFonts w:ascii="Tahoma" w:hAnsi="Tahoma" w:cs="Tahoma"/>
        <w:sz w:val="22"/>
        <w:szCs w:val="22"/>
      </w:rPr>
    </w:pPr>
    <w:r w:rsidRPr="00EC0805">
      <w:rPr>
        <w:rFonts w:ascii="Tahoma" w:hAnsi="Tahoma" w:cs="Tahoma"/>
        <w:b/>
        <w:sz w:val="40"/>
        <w:szCs w:val="40"/>
      </w:rPr>
      <w:t>Press</w:t>
    </w:r>
    <w:r w:rsidR="0099748D">
      <w:rPr>
        <w:rFonts w:ascii="Tahoma" w:hAnsi="Tahoma" w:cs="Tahoma"/>
        <w:noProof/>
        <w:sz w:val="22"/>
        <w:szCs w:val="22"/>
        <w:lang w:eastAsia="zh-CN"/>
      </w:rPr>
      <w:drawing>
        <wp:anchor distT="0" distB="0" distL="114300" distR="114300" simplePos="0" relativeHeight="251658240" behindDoc="0" locked="1" layoutInCell="1" allowOverlap="1" wp14:anchorId="1279FF1D" wp14:editId="6D3CBD52">
          <wp:simplePos x="0" y="0"/>
          <wp:positionH relativeFrom="margin">
            <wp:posOffset>3975100</wp:posOffset>
          </wp:positionH>
          <wp:positionV relativeFrom="page">
            <wp:posOffset>428625</wp:posOffset>
          </wp:positionV>
          <wp:extent cx="1638000" cy="576000"/>
          <wp:effectExtent l="0" t="0" r="635" b="0"/>
          <wp:wrapNone/>
          <wp:docPr id="8" name="Bild 38" descr="Bitzer Stern 1c black 9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itzer Stern 1c black 9cm"/>
                  <pic:cNvPicPr>
                    <a:picLocks noChangeAspect="1" noChangeArrowheads="1"/>
                  </pic:cNvPicPr>
                </pic:nvPicPr>
                <pic:blipFill>
                  <a:blip r:embed="rId1"/>
                  <a:srcRect/>
                  <a:stretch>
                    <a:fillRect/>
                  </a:stretch>
                </pic:blipFill>
                <pic:spPr bwMode="auto">
                  <a:xfrm>
                    <a:off x="0" y="0"/>
                    <a:ext cx="1638000" cy="57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442D19">
      <w:rPr>
        <w:rFonts w:ascii="Tahoma" w:hAnsi="Tahoma" w:cs="Tahoma"/>
        <w:b/>
        <w:sz w:val="40"/>
        <w:szCs w:val="40"/>
      </w:rPr>
      <w:t>emitteilung</w:t>
    </w:r>
  </w:p>
  <w:p w14:paraId="4BF6C6F2" w14:textId="77777777" w:rsidR="006E5B90" w:rsidRPr="006F5836" w:rsidRDefault="006E5B90" w:rsidP="00403329">
    <w:pPr>
      <w:pStyle w:val="Kopfzeile"/>
      <w:rPr>
        <w:rFonts w:ascii="Tahoma" w:hAnsi="Tahoma" w:cs="Tahoma"/>
        <w:sz w:val="40"/>
        <w:szCs w:val="4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715EE" w14:textId="77777777" w:rsidR="00885D9B" w:rsidRDefault="00885D9B">
    <w:pPr>
      <w:pStyle w:val="Kopfzeile"/>
    </w:pPr>
    <w:r w:rsidRPr="00EC0805">
      <w:rPr>
        <w:rFonts w:ascii="Tahoma" w:hAnsi="Tahoma" w:cs="Tahoma"/>
        <w:b/>
        <w:sz w:val="40"/>
        <w:szCs w:val="40"/>
      </w:rPr>
      <w:t>Press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CA2BE3"/>
    <w:multiLevelType w:val="hybridMultilevel"/>
    <w:tmpl w:val="B36810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0994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7E7"/>
    <w:rsid w:val="00000C01"/>
    <w:rsid w:val="000019B3"/>
    <w:rsid w:val="000057AA"/>
    <w:rsid w:val="000132B3"/>
    <w:rsid w:val="00021C11"/>
    <w:rsid w:val="00024811"/>
    <w:rsid w:val="000272BC"/>
    <w:rsid w:val="00031570"/>
    <w:rsid w:val="000336AD"/>
    <w:rsid w:val="00036060"/>
    <w:rsid w:val="000442A3"/>
    <w:rsid w:val="000460FB"/>
    <w:rsid w:val="00054F85"/>
    <w:rsid w:val="000602AD"/>
    <w:rsid w:val="00062A38"/>
    <w:rsid w:val="0006421A"/>
    <w:rsid w:val="000656FB"/>
    <w:rsid w:val="00073914"/>
    <w:rsid w:val="0007629A"/>
    <w:rsid w:val="00076BF3"/>
    <w:rsid w:val="00081197"/>
    <w:rsid w:val="00081310"/>
    <w:rsid w:val="00096743"/>
    <w:rsid w:val="00096A0B"/>
    <w:rsid w:val="000A3305"/>
    <w:rsid w:val="000A4060"/>
    <w:rsid w:val="000A4126"/>
    <w:rsid w:val="000A520F"/>
    <w:rsid w:val="000A679F"/>
    <w:rsid w:val="000B079A"/>
    <w:rsid w:val="000B3B83"/>
    <w:rsid w:val="000C394C"/>
    <w:rsid w:val="000D1CC3"/>
    <w:rsid w:val="000D2EF1"/>
    <w:rsid w:val="000D3D1D"/>
    <w:rsid w:val="000D55D8"/>
    <w:rsid w:val="000E6FF0"/>
    <w:rsid w:val="000F3117"/>
    <w:rsid w:val="00107A18"/>
    <w:rsid w:val="0011150B"/>
    <w:rsid w:val="00112853"/>
    <w:rsid w:val="00113BB8"/>
    <w:rsid w:val="00120E4A"/>
    <w:rsid w:val="00121973"/>
    <w:rsid w:val="00126449"/>
    <w:rsid w:val="00130373"/>
    <w:rsid w:val="00135760"/>
    <w:rsid w:val="00135CE0"/>
    <w:rsid w:val="00143A8C"/>
    <w:rsid w:val="0014616F"/>
    <w:rsid w:val="001521BD"/>
    <w:rsid w:val="0015393A"/>
    <w:rsid w:val="00157FCC"/>
    <w:rsid w:val="001701E7"/>
    <w:rsid w:val="00170992"/>
    <w:rsid w:val="00180E8B"/>
    <w:rsid w:val="00194C54"/>
    <w:rsid w:val="00196CF7"/>
    <w:rsid w:val="001A225A"/>
    <w:rsid w:val="001A4EC0"/>
    <w:rsid w:val="001B1AE6"/>
    <w:rsid w:val="001B3D3D"/>
    <w:rsid w:val="001B492B"/>
    <w:rsid w:val="001B4BFC"/>
    <w:rsid w:val="001B6524"/>
    <w:rsid w:val="001C12B0"/>
    <w:rsid w:val="001C2261"/>
    <w:rsid w:val="001C2E28"/>
    <w:rsid w:val="001C3F0D"/>
    <w:rsid w:val="001C4790"/>
    <w:rsid w:val="001C4898"/>
    <w:rsid w:val="001C5F45"/>
    <w:rsid w:val="001C6A10"/>
    <w:rsid w:val="001D0E9C"/>
    <w:rsid w:val="001D6553"/>
    <w:rsid w:val="001D6B60"/>
    <w:rsid w:val="001D7DFD"/>
    <w:rsid w:val="001E31FC"/>
    <w:rsid w:val="001F00FD"/>
    <w:rsid w:val="001F2739"/>
    <w:rsid w:val="001F6F44"/>
    <w:rsid w:val="00201616"/>
    <w:rsid w:val="00204B27"/>
    <w:rsid w:val="0020626C"/>
    <w:rsid w:val="0020657E"/>
    <w:rsid w:val="00207FE5"/>
    <w:rsid w:val="00213B98"/>
    <w:rsid w:val="00213EFD"/>
    <w:rsid w:val="002154F0"/>
    <w:rsid w:val="002166DE"/>
    <w:rsid w:val="00225DC0"/>
    <w:rsid w:val="002274F0"/>
    <w:rsid w:val="00240B4A"/>
    <w:rsid w:val="00247991"/>
    <w:rsid w:val="00247B2D"/>
    <w:rsid w:val="00254BC4"/>
    <w:rsid w:val="00255D48"/>
    <w:rsid w:val="002566B9"/>
    <w:rsid w:val="00257374"/>
    <w:rsid w:val="00270CB7"/>
    <w:rsid w:val="00274344"/>
    <w:rsid w:val="002756F1"/>
    <w:rsid w:val="00280B26"/>
    <w:rsid w:val="00281209"/>
    <w:rsid w:val="002851BA"/>
    <w:rsid w:val="00285BE8"/>
    <w:rsid w:val="00285BEF"/>
    <w:rsid w:val="00290999"/>
    <w:rsid w:val="0029333B"/>
    <w:rsid w:val="00293C93"/>
    <w:rsid w:val="00293E43"/>
    <w:rsid w:val="002944C6"/>
    <w:rsid w:val="002A0583"/>
    <w:rsid w:val="002A149B"/>
    <w:rsid w:val="002A7781"/>
    <w:rsid w:val="002B2E51"/>
    <w:rsid w:val="002B51E0"/>
    <w:rsid w:val="002B5B1A"/>
    <w:rsid w:val="002B76F2"/>
    <w:rsid w:val="002C487D"/>
    <w:rsid w:val="002C5D64"/>
    <w:rsid w:val="002C7577"/>
    <w:rsid w:val="002C7729"/>
    <w:rsid w:val="002D4D58"/>
    <w:rsid w:val="002D500E"/>
    <w:rsid w:val="002D6259"/>
    <w:rsid w:val="002D728B"/>
    <w:rsid w:val="002E2329"/>
    <w:rsid w:val="002E7F6A"/>
    <w:rsid w:val="002F4D45"/>
    <w:rsid w:val="00300918"/>
    <w:rsid w:val="003021A9"/>
    <w:rsid w:val="003043C3"/>
    <w:rsid w:val="003070B2"/>
    <w:rsid w:val="00311D4E"/>
    <w:rsid w:val="003150CA"/>
    <w:rsid w:val="00316731"/>
    <w:rsid w:val="0031738B"/>
    <w:rsid w:val="00324318"/>
    <w:rsid w:val="00336E61"/>
    <w:rsid w:val="00340F5E"/>
    <w:rsid w:val="003439AA"/>
    <w:rsid w:val="003469D3"/>
    <w:rsid w:val="00353B63"/>
    <w:rsid w:val="0035779A"/>
    <w:rsid w:val="00363E5F"/>
    <w:rsid w:val="003645E1"/>
    <w:rsid w:val="00364997"/>
    <w:rsid w:val="003676F2"/>
    <w:rsid w:val="00375A59"/>
    <w:rsid w:val="00377544"/>
    <w:rsid w:val="00382945"/>
    <w:rsid w:val="00384201"/>
    <w:rsid w:val="003913A2"/>
    <w:rsid w:val="003A62AD"/>
    <w:rsid w:val="003C0197"/>
    <w:rsid w:val="003C054B"/>
    <w:rsid w:val="003C06DC"/>
    <w:rsid w:val="003D06F1"/>
    <w:rsid w:val="003D221B"/>
    <w:rsid w:val="003D6FE6"/>
    <w:rsid w:val="003E1FC6"/>
    <w:rsid w:val="003F18C9"/>
    <w:rsid w:val="00400B66"/>
    <w:rsid w:val="00401EBA"/>
    <w:rsid w:val="00403329"/>
    <w:rsid w:val="0040401A"/>
    <w:rsid w:val="00404612"/>
    <w:rsid w:val="00405F17"/>
    <w:rsid w:val="00416043"/>
    <w:rsid w:val="00424C68"/>
    <w:rsid w:val="00426A7C"/>
    <w:rsid w:val="004278ED"/>
    <w:rsid w:val="00434055"/>
    <w:rsid w:val="00442D19"/>
    <w:rsid w:val="004534A5"/>
    <w:rsid w:val="004538D6"/>
    <w:rsid w:val="00463ED4"/>
    <w:rsid w:val="00465E4F"/>
    <w:rsid w:val="004822EE"/>
    <w:rsid w:val="004827DE"/>
    <w:rsid w:val="00482AA3"/>
    <w:rsid w:val="00483A02"/>
    <w:rsid w:val="00486CB7"/>
    <w:rsid w:val="00487195"/>
    <w:rsid w:val="00490452"/>
    <w:rsid w:val="004942BA"/>
    <w:rsid w:val="00495749"/>
    <w:rsid w:val="0049594F"/>
    <w:rsid w:val="00495B8D"/>
    <w:rsid w:val="004969DA"/>
    <w:rsid w:val="004A0929"/>
    <w:rsid w:val="004A2361"/>
    <w:rsid w:val="004A4C3E"/>
    <w:rsid w:val="004D287D"/>
    <w:rsid w:val="004D302B"/>
    <w:rsid w:val="004D3F22"/>
    <w:rsid w:val="004E212A"/>
    <w:rsid w:val="004E3397"/>
    <w:rsid w:val="004E3B36"/>
    <w:rsid w:val="004F02F6"/>
    <w:rsid w:val="004F3B2E"/>
    <w:rsid w:val="004F5590"/>
    <w:rsid w:val="004F5963"/>
    <w:rsid w:val="00502821"/>
    <w:rsid w:val="00505AC5"/>
    <w:rsid w:val="0050749B"/>
    <w:rsid w:val="005134A9"/>
    <w:rsid w:val="0051586A"/>
    <w:rsid w:val="0051711E"/>
    <w:rsid w:val="00521B21"/>
    <w:rsid w:val="00522CE7"/>
    <w:rsid w:val="0052420D"/>
    <w:rsid w:val="005254BE"/>
    <w:rsid w:val="005254C7"/>
    <w:rsid w:val="00533135"/>
    <w:rsid w:val="00541476"/>
    <w:rsid w:val="00551E05"/>
    <w:rsid w:val="00554290"/>
    <w:rsid w:val="00556215"/>
    <w:rsid w:val="005566CA"/>
    <w:rsid w:val="00560B7F"/>
    <w:rsid w:val="00562925"/>
    <w:rsid w:val="005742EC"/>
    <w:rsid w:val="005A1070"/>
    <w:rsid w:val="005A1978"/>
    <w:rsid w:val="005A4C62"/>
    <w:rsid w:val="005B001F"/>
    <w:rsid w:val="005B122B"/>
    <w:rsid w:val="005B502E"/>
    <w:rsid w:val="005C0D40"/>
    <w:rsid w:val="005C2CD5"/>
    <w:rsid w:val="005C3FE9"/>
    <w:rsid w:val="005D25A9"/>
    <w:rsid w:val="005D3A68"/>
    <w:rsid w:val="005D4F49"/>
    <w:rsid w:val="005D6A3E"/>
    <w:rsid w:val="005D7B5A"/>
    <w:rsid w:val="005E09B0"/>
    <w:rsid w:val="005E6EAA"/>
    <w:rsid w:val="005F136A"/>
    <w:rsid w:val="005F14B4"/>
    <w:rsid w:val="005F2B9C"/>
    <w:rsid w:val="005F47C7"/>
    <w:rsid w:val="005F633B"/>
    <w:rsid w:val="005F76ED"/>
    <w:rsid w:val="006068EA"/>
    <w:rsid w:val="00607BE2"/>
    <w:rsid w:val="006112C8"/>
    <w:rsid w:val="0061383F"/>
    <w:rsid w:val="00613A2A"/>
    <w:rsid w:val="00623FFA"/>
    <w:rsid w:val="00624021"/>
    <w:rsid w:val="006315FF"/>
    <w:rsid w:val="00631E4F"/>
    <w:rsid w:val="00633000"/>
    <w:rsid w:val="00634F8A"/>
    <w:rsid w:val="00642C7B"/>
    <w:rsid w:val="0064363C"/>
    <w:rsid w:val="00643FA7"/>
    <w:rsid w:val="00643FF9"/>
    <w:rsid w:val="00644126"/>
    <w:rsid w:val="00646CEB"/>
    <w:rsid w:val="00651E0C"/>
    <w:rsid w:val="00652EF9"/>
    <w:rsid w:val="00656D04"/>
    <w:rsid w:val="00660B5D"/>
    <w:rsid w:val="0066668A"/>
    <w:rsid w:val="00667AFE"/>
    <w:rsid w:val="00672475"/>
    <w:rsid w:val="00672604"/>
    <w:rsid w:val="00672FF0"/>
    <w:rsid w:val="0067473B"/>
    <w:rsid w:val="00676466"/>
    <w:rsid w:val="0067707E"/>
    <w:rsid w:val="00682408"/>
    <w:rsid w:val="00684D2E"/>
    <w:rsid w:val="006910C6"/>
    <w:rsid w:val="00692555"/>
    <w:rsid w:val="00693DDB"/>
    <w:rsid w:val="006970DD"/>
    <w:rsid w:val="006971C9"/>
    <w:rsid w:val="006A7725"/>
    <w:rsid w:val="006A77A7"/>
    <w:rsid w:val="006B43C0"/>
    <w:rsid w:val="006B5459"/>
    <w:rsid w:val="006C1515"/>
    <w:rsid w:val="006C17DC"/>
    <w:rsid w:val="006C20EF"/>
    <w:rsid w:val="006C29CE"/>
    <w:rsid w:val="006C4FCD"/>
    <w:rsid w:val="006E0B38"/>
    <w:rsid w:val="006E3652"/>
    <w:rsid w:val="006E5B90"/>
    <w:rsid w:val="006E6480"/>
    <w:rsid w:val="006F3880"/>
    <w:rsid w:val="006F5836"/>
    <w:rsid w:val="006F67E7"/>
    <w:rsid w:val="006F7AF7"/>
    <w:rsid w:val="0070387D"/>
    <w:rsid w:val="007054FA"/>
    <w:rsid w:val="007108D1"/>
    <w:rsid w:val="007109D3"/>
    <w:rsid w:val="00713600"/>
    <w:rsid w:val="00714D1B"/>
    <w:rsid w:val="007157E4"/>
    <w:rsid w:val="00716976"/>
    <w:rsid w:val="00720085"/>
    <w:rsid w:val="007209B4"/>
    <w:rsid w:val="007211A8"/>
    <w:rsid w:val="00725F30"/>
    <w:rsid w:val="00730B80"/>
    <w:rsid w:val="007334EF"/>
    <w:rsid w:val="00736515"/>
    <w:rsid w:val="00737598"/>
    <w:rsid w:val="00740325"/>
    <w:rsid w:val="007409FC"/>
    <w:rsid w:val="00742FC6"/>
    <w:rsid w:val="007456C2"/>
    <w:rsid w:val="00746ACC"/>
    <w:rsid w:val="00750877"/>
    <w:rsid w:val="00760B81"/>
    <w:rsid w:val="00764401"/>
    <w:rsid w:val="007659F4"/>
    <w:rsid w:val="0076673E"/>
    <w:rsid w:val="00770240"/>
    <w:rsid w:val="00772550"/>
    <w:rsid w:val="0077798C"/>
    <w:rsid w:val="00780CF4"/>
    <w:rsid w:val="00783A5C"/>
    <w:rsid w:val="007849D7"/>
    <w:rsid w:val="007857E4"/>
    <w:rsid w:val="007909EC"/>
    <w:rsid w:val="0079200C"/>
    <w:rsid w:val="0079268C"/>
    <w:rsid w:val="00793746"/>
    <w:rsid w:val="00796BF0"/>
    <w:rsid w:val="007A0AE4"/>
    <w:rsid w:val="007A3837"/>
    <w:rsid w:val="007A65B0"/>
    <w:rsid w:val="007B4637"/>
    <w:rsid w:val="007C5021"/>
    <w:rsid w:val="007C6B2C"/>
    <w:rsid w:val="007D0D4F"/>
    <w:rsid w:val="007D4226"/>
    <w:rsid w:val="007D69C0"/>
    <w:rsid w:val="007D786C"/>
    <w:rsid w:val="007E4963"/>
    <w:rsid w:val="007E54A5"/>
    <w:rsid w:val="007F11B8"/>
    <w:rsid w:val="007F12E5"/>
    <w:rsid w:val="007F2695"/>
    <w:rsid w:val="00802B96"/>
    <w:rsid w:val="00803EE1"/>
    <w:rsid w:val="00805832"/>
    <w:rsid w:val="00807B45"/>
    <w:rsid w:val="0081157C"/>
    <w:rsid w:val="00813584"/>
    <w:rsid w:val="00813BEC"/>
    <w:rsid w:val="00816891"/>
    <w:rsid w:val="0081707D"/>
    <w:rsid w:val="00820B5A"/>
    <w:rsid w:val="00821663"/>
    <w:rsid w:val="00822082"/>
    <w:rsid w:val="00824D65"/>
    <w:rsid w:val="00825475"/>
    <w:rsid w:val="008351C2"/>
    <w:rsid w:val="008361ED"/>
    <w:rsid w:val="00837958"/>
    <w:rsid w:val="00840DA3"/>
    <w:rsid w:val="00841867"/>
    <w:rsid w:val="00843CB6"/>
    <w:rsid w:val="00847907"/>
    <w:rsid w:val="008537B6"/>
    <w:rsid w:val="008553D0"/>
    <w:rsid w:val="00856521"/>
    <w:rsid w:val="008568B2"/>
    <w:rsid w:val="00856D49"/>
    <w:rsid w:val="00860A6A"/>
    <w:rsid w:val="008728A6"/>
    <w:rsid w:val="00874A85"/>
    <w:rsid w:val="008853E1"/>
    <w:rsid w:val="00885D9B"/>
    <w:rsid w:val="008903CC"/>
    <w:rsid w:val="0089292C"/>
    <w:rsid w:val="00892BC7"/>
    <w:rsid w:val="00893C81"/>
    <w:rsid w:val="0089571E"/>
    <w:rsid w:val="00895A30"/>
    <w:rsid w:val="00895C3B"/>
    <w:rsid w:val="00897DED"/>
    <w:rsid w:val="008A0781"/>
    <w:rsid w:val="008A140E"/>
    <w:rsid w:val="008A31C0"/>
    <w:rsid w:val="008A3723"/>
    <w:rsid w:val="008A588A"/>
    <w:rsid w:val="008B0FBB"/>
    <w:rsid w:val="008B4FBE"/>
    <w:rsid w:val="008B6BD0"/>
    <w:rsid w:val="008C79A3"/>
    <w:rsid w:val="008E176B"/>
    <w:rsid w:val="008F0C82"/>
    <w:rsid w:val="008F2C41"/>
    <w:rsid w:val="008F652A"/>
    <w:rsid w:val="00900CBB"/>
    <w:rsid w:val="00907156"/>
    <w:rsid w:val="009106F8"/>
    <w:rsid w:val="00910C8D"/>
    <w:rsid w:val="009122FA"/>
    <w:rsid w:val="00913E95"/>
    <w:rsid w:val="00920E73"/>
    <w:rsid w:val="009218BD"/>
    <w:rsid w:val="00936833"/>
    <w:rsid w:val="0094068A"/>
    <w:rsid w:val="00946C34"/>
    <w:rsid w:val="0095104E"/>
    <w:rsid w:val="00951247"/>
    <w:rsid w:val="00964D41"/>
    <w:rsid w:val="00965576"/>
    <w:rsid w:val="009668C7"/>
    <w:rsid w:val="009677BE"/>
    <w:rsid w:val="00967F74"/>
    <w:rsid w:val="009710BC"/>
    <w:rsid w:val="00974B4B"/>
    <w:rsid w:val="009754AF"/>
    <w:rsid w:val="009754FB"/>
    <w:rsid w:val="00975F6A"/>
    <w:rsid w:val="00977728"/>
    <w:rsid w:val="00980560"/>
    <w:rsid w:val="009819C4"/>
    <w:rsid w:val="00981FD9"/>
    <w:rsid w:val="00985C1B"/>
    <w:rsid w:val="009922FA"/>
    <w:rsid w:val="009961ED"/>
    <w:rsid w:val="009971A4"/>
    <w:rsid w:val="0099748D"/>
    <w:rsid w:val="0099797B"/>
    <w:rsid w:val="009A055E"/>
    <w:rsid w:val="009A0740"/>
    <w:rsid w:val="009A567E"/>
    <w:rsid w:val="009A7EB5"/>
    <w:rsid w:val="009B2064"/>
    <w:rsid w:val="009C3722"/>
    <w:rsid w:val="009D5B65"/>
    <w:rsid w:val="009E0503"/>
    <w:rsid w:val="009E3618"/>
    <w:rsid w:val="009E6294"/>
    <w:rsid w:val="009E67E9"/>
    <w:rsid w:val="009F3237"/>
    <w:rsid w:val="009F503D"/>
    <w:rsid w:val="009F5E22"/>
    <w:rsid w:val="009F7A8A"/>
    <w:rsid w:val="00A03BE6"/>
    <w:rsid w:val="00A04A46"/>
    <w:rsid w:val="00A061EF"/>
    <w:rsid w:val="00A10BE6"/>
    <w:rsid w:val="00A11E95"/>
    <w:rsid w:val="00A136DA"/>
    <w:rsid w:val="00A16D4A"/>
    <w:rsid w:val="00A20412"/>
    <w:rsid w:val="00A21563"/>
    <w:rsid w:val="00A3438B"/>
    <w:rsid w:val="00A34CE1"/>
    <w:rsid w:val="00A451EF"/>
    <w:rsid w:val="00A4538B"/>
    <w:rsid w:val="00A46039"/>
    <w:rsid w:val="00A46C9B"/>
    <w:rsid w:val="00A475A8"/>
    <w:rsid w:val="00A47887"/>
    <w:rsid w:val="00A47A06"/>
    <w:rsid w:val="00A50406"/>
    <w:rsid w:val="00A509C2"/>
    <w:rsid w:val="00A55378"/>
    <w:rsid w:val="00A5782B"/>
    <w:rsid w:val="00A6285D"/>
    <w:rsid w:val="00A65067"/>
    <w:rsid w:val="00A66106"/>
    <w:rsid w:val="00A74F39"/>
    <w:rsid w:val="00A86BDF"/>
    <w:rsid w:val="00A940F6"/>
    <w:rsid w:val="00AA01CF"/>
    <w:rsid w:val="00AA08D0"/>
    <w:rsid w:val="00AA42A8"/>
    <w:rsid w:val="00AB2D30"/>
    <w:rsid w:val="00AC1C59"/>
    <w:rsid w:val="00AC38AC"/>
    <w:rsid w:val="00AC551E"/>
    <w:rsid w:val="00AC6C6B"/>
    <w:rsid w:val="00AD6775"/>
    <w:rsid w:val="00AE523B"/>
    <w:rsid w:val="00AF0D77"/>
    <w:rsid w:val="00AF3412"/>
    <w:rsid w:val="00AF3AEB"/>
    <w:rsid w:val="00B0169B"/>
    <w:rsid w:val="00B1242B"/>
    <w:rsid w:val="00B13200"/>
    <w:rsid w:val="00B1384A"/>
    <w:rsid w:val="00B15D74"/>
    <w:rsid w:val="00B24771"/>
    <w:rsid w:val="00B26433"/>
    <w:rsid w:val="00B30630"/>
    <w:rsid w:val="00B448CD"/>
    <w:rsid w:val="00B47D13"/>
    <w:rsid w:val="00B55E7E"/>
    <w:rsid w:val="00B56124"/>
    <w:rsid w:val="00B57D87"/>
    <w:rsid w:val="00B617FC"/>
    <w:rsid w:val="00B66005"/>
    <w:rsid w:val="00B66E1F"/>
    <w:rsid w:val="00B70B10"/>
    <w:rsid w:val="00B710F1"/>
    <w:rsid w:val="00B74F6F"/>
    <w:rsid w:val="00B758F8"/>
    <w:rsid w:val="00B80B43"/>
    <w:rsid w:val="00B821FD"/>
    <w:rsid w:val="00B841E1"/>
    <w:rsid w:val="00B90774"/>
    <w:rsid w:val="00B90B89"/>
    <w:rsid w:val="00B91713"/>
    <w:rsid w:val="00B92541"/>
    <w:rsid w:val="00B930AF"/>
    <w:rsid w:val="00B94B8E"/>
    <w:rsid w:val="00BA0DB7"/>
    <w:rsid w:val="00BA3D0D"/>
    <w:rsid w:val="00BA3E36"/>
    <w:rsid w:val="00BB4127"/>
    <w:rsid w:val="00BC2D0E"/>
    <w:rsid w:val="00BC3944"/>
    <w:rsid w:val="00BC5CD2"/>
    <w:rsid w:val="00BC615A"/>
    <w:rsid w:val="00BC7885"/>
    <w:rsid w:val="00BD1592"/>
    <w:rsid w:val="00BD293C"/>
    <w:rsid w:val="00BD3E38"/>
    <w:rsid w:val="00BE16EC"/>
    <w:rsid w:val="00BE361C"/>
    <w:rsid w:val="00BE6E02"/>
    <w:rsid w:val="00BF44D3"/>
    <w:rsid w:val="00BF7A9E"/>
    <w:rsid w:val="00C003C6"/>
    <w:rsid w:val="00C0678F"/>
    <w:rsid w:val="00C11752"/>
    <w:rsid w:val="00C16125"/>
    <w:rsid w:val="00C16B7B"/>
    <w:rsid w:val="00C17300"/>
    <w:rsid w:val="00C24B53"/>
    <w:rsid w:val="00C27D94"/>
    <w:rsid w:val="00C30020"/>
    <w:rsid w:val="00C302D1"/>
    <w:rsid w:val="00C30C9B"/>
    <w:rsid w:val="00C31F50"/>
    <w:rsid w:val="00C34765"/>
    <w:rsid w:val="00C348D8"/>
    <w:rsid w:val="00C46FF4"/>
    <w:rsid w:val="00C50BA2"/>
    <w:rsid w:val="00C52374"/>
    <w:rsid w:val="00C54D1C"/>
    <w:rsid w:val="00C56941"/>
    <w:rsid w:val="00C63837"/>
    <w:rsid w:val="00C83972"/>
    <w:rsid w:val="00C85A5B"/>
    <w:rsid w:val="00C878B8"/>
    <w:rsid w:val="00C95629"/>
    <w:rsid w:val="00C95F89"/>
    <w:rsid w:val="00CA0260"/>
    <w:rsid w:val="00CA3BFA"/>
    <w:rsid w:val="00CA3E6A"/>
    <w:rsid w:val="00CA7146"/>
    <w:rsid w:val="00CB20CA"/>
    <w:rsid w:val="00CB52A7"/>
    <w:rsid w:val="00CB5388"/>
    <w:rsid w:val="00CB7BC3"/>
    <w:rsid w:val="00CC093D"/>
    <w:rsid w:val="00CC2CD9"/>
    <w:rsid w:val="00CD3C95"/>
    <w:rsid w:val="00CD7A87"/>
    <w:rsid w:val="00CE1C02"/>
    <w:rsid w:val="00CE541D"/>
    <w:rsid w:val="00CE5BAA"/>
    <w:rsid w:val="00CE7521"/>
    <w:rsid w:val="00CF15E1"/>
    <w:rsid w:val="00CF2991"/>
    <w:rsid w:val="00CF3746"/>
    <w:rsid w:val="00CF6E92"/>
    <w:rsid w:val="00D011F8"/>
    <w:rsid w:val="00D02D69"/>
    <w:rsid w:val="00D03591"/>
    <w:rsid w:val="00D12577"/>
    <w:rsid w:val="00D12F1A"/>
    <w:rsid w:val="00D14EC2"/>
    <w:rsid w:val="00D17765"/>
    <w:rsid w:val="00D20D3D"/>
    <w:rsid w:val="00D2166D"/>
    <w:rsid w:val="00D22FC9"/>
    <w:rsid w:val="00D278E0"/>
    <w:rsid w:val="00D30A73"/>
    <w:rsid w:val="00D343CD"/>
    <w:rsid w:val="00D41F14"/>
    <w:rsid w:val="00D432BE"/>
    <w:rsid w:val="00D50E23"/>
    <w:rsid w:val="00D52A6D"/>
    <w:rsid w:val="00D52C82"/>
    <w:rsid w:val="00D53953"/>
    <w:rsid w:val="00D5615A"/>
    <w:rsid w:val="00D57C6B"/>
    <w:rsid w:val="00D77FDB"/>
    <w:rsid w:val="00D80AA5"/>
    <w:rsid w:val="00D83955"/>
    <w:rsid w:val="00D86583"/>
    <w:rsid w:val="00D86D69"/>
    <w:rsid w:val="00D91EC7"/>
    <w:rsid w:val="00D93ABB"/>
    <w:rsid w:val="00D961C4"/>
    <w:rsid w:val="00D973D5"/>
    <w:rsid w:val="00D977D8"/>
    <w:rsid w:val="00D97B59"/>
    <w:rsid w:val="00DA45C5"/>
    <w:rsid w:val="00DA48B4"/>
    <w:rsid w:val="00DC2D1D"/>
    <w:rsid w:val="00DC426C"/>
    <w:rsid w:val="00DD78E5"/>
    <w:rsid w:val="00DE4F57"/>
    <w:rsid w:val="00DF1483"/>
    <w:rsid w:val="00DF15B1"/>
    <w:rsid w:val="00DF4B6A"/>
    <w:rsid w:val="00DF4D5E"/>
    <w:rsid w:val="00E00478"/>
    <w:rsid w:val="00E032D9"/>
    <w:rsid w:val="00E045B8"/>
    <w:rsid w:val="00E16989"/>
    <w:rsid w:val="00E21197"/>
    <w:rsid w:val="00E24A2E"/>
    <w:rsid w:val="00E27D42"/>
    <w:rsid w:val="00E30B10"/>
    <w:rsid w:val="00E313A9"/>
    <w:rsid w:val="00E34A20"/>
    <w:rsid w:val="00E351C1"/>
    <w:rsid w:val="00E453ED"/>
    <w:rsid w:val="00E5077E"/>
    <w:rsid w:val="00E52DCB"/>
    <w:rsid w:val="00E542C8"/>
    <w:rsid w:val="00E604D2"/>
    <w:rsid w:val="00E63021"/>
    <w:rsid w:val="00E67BB4"/>
    <w:rsid w:val="00E70D2B"/>
    <w:rsid w:val="00E82DCD"/>
    <w:rsid w:val="00E83359"/>
    <w:rsid w:val="00E86E0B"/>
    <w:rsid w:val="00E878EA"/>
    <w:rsid w:val="00E87E0A"/>
    <w:rsid w:val="00E925A2"/>
    <w:rsid w:val="00E95CC7"/>
    <w:rsid w:val="00E97244"/>
    <w:rsid w:val="00EA0E88"/>
    <w:rsid w:val="00EA54FA"/>
    <w:rsid w:val="00EB4DE5"/>
    <w:rsid w:val="00EC56E4"/>
    <w:rsid w:val="00ED00D9"/>
    <w:rsid w:val="00ED0ACC"/>
    <w:rsid w:val="00ED10C2"/>
    <w:rsid w:val="00ED742E"/>
    <w:rsid w:val="00ED7B23"/>
    <w:rsid w:val="00EE2C0B"/>
    <w:rsid w:val="00EE3D38"/>
    <w:rsid w:val="00EE5CBD"/>
    <w:rsid w:val="00EE730A"/>
    <w:rsid w:val="00EE7EE0"/>
    <w:rsid w:val="00EF131D"/>
    <w:rsid w:val="00EF206D"/>
    <w:rsid w:val="00EF21CD"/>
    <w:rsid w:val="00F01919"/>
    <w:rsid w:val="00F01E19"/>
    <w:rsid w:val="00F02358"/>
    <w:rsid w:val="00F0769F"/>
    <w:rsid w:val="00F10226"/>
    <w:rsid w:val="00F10CF9"/>
    <w:rsid w:val="00F111E6"/>
    <w:rsid w:val="00F13625"/>
    <w:rsid w:val="00F13C15"/>
    <w:rsid w:val="00F16387"/>
    <w:rsid w:val="00F21E31"/>
    <w:rsid w:val="00F275A0"/>
    <w:rsid w:val="00F31B86"/>
    <w:rsid w:val="00F525E8"/>
    <w:rsid w:val="00F54D3B"/>
    <w:rsid w:val="00F56533"/>
    <w:rsid w:val="00F57670"/>
    <w:rsid w:val="00F577CF"/>
    <w:rsid w:val="00F60121"/>
    <w:rsid w:val="00F63C06"/>
    <w:rsid w:val="00F71EF5"/>
    <w:rsid w:val="00F77B4A"/>
    <w:rsid w:val="00F804B7"/>
    <w:rsid w:val="00F81E67"/>
    <w:rsid w:val="00F85F28"/>
    <w:rsid w:val="00F903E7"/>
    <w:rsid w:val="00F93363"/>
    <w:rsid w:val="00F94AD5"/>
    <w:rsid w:val="00F95263"/>
    <w:rsid w:val="00FA0D67"/>
    <w:rsid w:val="00FA492A"/>
    <w:rsid w:val="00FA7E60"/>
    <w:rsid w:val="00FB0383"/>
    <w:rsid w:val="00FB22B8"/>
    <w:rsid w:val="00FB603B"/>
    <w:rsid w:val="00FC0871"/>
    <w:rsid w:val="00FC1E79"/>
    <w:rsid w:val="00FC33A0"/>
    <w:rsid w:val="00FC450B"/>
    <w:rsid w:val="00FC57B3"/>
    <w:rsid w:val="00FD35C1"/>
    <w:rsid w:val="00FD3DA8"/>
    <w:rsid w:val="00FD5C4E"/>
    <w:rsid w:val="00FE67AC"/>
    <w:rsid w:val="00FF2123"/>
    <w:rsid w:val="00FF23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752E6C"/>
  <w15:docId w15:val="{C332E342-9580-4E6B-8C5E-39C512685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A1978"/>
    <w:rPr>
      <w:sz w:val="24"/>
      <w:lang w:eastAsia="de-DE"/>
    </w:rPr>
  </w:style>
  <w:style w:type="paragraph" w:styleId="berschrift1">
    <w:name w:val="heading 1"/>
    <w:basedOn w:val="Standard"/>
    <w:next w:val="Standard"/>
    <w:qFormat/>
    <w:rsid w:val="008E176B"/>
    <w:pPr>
      <w:keepNext/>
      <w:outlineLvl w:val="0"/>
    </w:pPr>
    <w:rPr>
      <w:rFonts w:ascii="Arial" w:hAnsi="Arial"/>
      <w:b/>
      <w:w w:val="106"/>
      <w:sz w:val="22"/>
    </w:rPr>
  </w:style>
  <w:style w:type="paragraph" w:styleId="berschrift2">
    <w:name w:val="heading 2"/>
    <w:basedOn w:val="Standard"/>
    <w:next w:val="Standard"/>
    <w:qFormat/>
    <w:rsid w:val="004D3F22"/>
    <w:pPr>
      <w:keepNext/>
      <w:outlineLvl w:val="1"/>
    </w:pPr>
    <w:rPr>
      <w:rFonts w:ascii="Arial" w:hAnsi="Arial"/>
      <w:i/>
      <w:w w:val="85"/>
      <w:sz w:val="20"/>
      <w:lang w:val="it-IT"/>
    </w:rPr>
  </w:style>
  <w:style w:type="paragraph" w:styleId="berschrift3">
    <w:name w:val="heading 3"/>
    <w:basedOn w:val="Standard"/>
    <w:next w:val="Standard"/>
    <w:link w:val="berschrift3Zchn"/>
    <w:uiPriority w:val="9"/>
    <w:semiHidden/>
    <w:unhideWhenUsed/>
    <w:qFormat/>
    <w:rsid w:val="001C5F45"/>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6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403329"/>
    <w:pPr>
      <w:tabs>
        <w:tab w:val="center" w:pos="4536"/>
        <w:tab w:val="right" w:pos="9072"/>
      </w:tabs>
    </w:pPr>
  </w:style>
  <w:style w:type="paragraph" w:styleId="Fuzeile">
    <w:name w:val="footer"/>
    <w:basedOn w:val="Standard"/>
    <w:rsid w:val="00403329"/>
    <w:pPr>
      <w:tabs>
        <w:tab w:val="center" w:pos="4536"/>
        <w:tab w:val="right" w:pos="9072"/>
      </w:tabs>
    </w:pPr>
  </w:style>
  <w:style w:type="character" w:styleId="Seitenzahl">
    <w:name w:val="page number"/>
    <w:basedOn w:val="Absatz-Standardschriftart"/>
    <w:rsid w:val="00403329"/>
  </w:style>
  <w:style w:type="paragraph" w:styleId="Sprechblasentext">
    <w:name w:val="Balloon Text"/>
    <w:basedOn w:val="Standard"/>
    <w:semiHidden/>
    <w:rsid w:val="00A50406"/>
    <w:rPr>
      <w:rFonts w:ascii="Tahoma" w:hAnsi="Tahoma" w:cs="Tahoma"/>
      <w:sz w:val="16"/>
      <w:szCs w:val="16"/>
    </w:rPr>
  </w:style>
  <w:style w:type="character" w:styleId="Hyperlink">
    <w:name w:val="Hyperlink"/>
    <w:basedOn w:val="Absatz-Standardschriftart"/>
    <w:uiPriority w:val="99"/>
    <w:rsid w:val="00270CB7"/>
    <w:rPr>
      <w:color w:val="0000FF"/>
      <w:u w:val="single"/>
    </w:rPr>
  </w:style>
  <w:style w:type="character" w:customStyle="1" w:styleId="KopfzeileZchn">
    <w:name w:val="Kopfzeile Zchn"/>
    <w:basedOn w:val="Absatz-Standardschriftart"/>
    <w:link w:val="Kopfzeile"/>
    <w:uiPriority w:val="99"/>
    <w:rsid w:val="00885D9B"/>
    <w:rPr>
      <w:sz w:val="24"/>
      <w:lang w:eastAsia="de-DE"/>
    </w:rPr>
  </w:style>
  <w:style w:type="character" w:styleId="Platzhaltertext">
    <w:name w:val="Placeholder Text"/>
    <w:basedOn w:val="Absatz-Standardschriftart"/>
    <w:uiPriority w:val="99"/>
    <w:semiHidden/>
    <w:rsid w:val="00E97244"/>
    <w:rPr>
      <w:color w:val="808080"/>
    </w:rPr>
  </w:style>
  <w:style w:type="character" w:styleId="NichtaufgelsteErwhnung">
    <w:name w:val="Unresolved Mention"/>
    <w:basedOn w:val="Absatz-Standardschriftart"/>
    <w:uiPriority w:val="99"/>
    <w:semiHidden/>
    <w:unhideWhenUsed/>
    <w:rsid w:val="00C27D94"/>
    <w:rPr>
      <w:color w:val="605E5C"/>
      <w:shd w:val="clear" w:color="auto" w:fill="E1DFDD"/>
    </w:rPr>
  </w:style>
  <w:style w:type="character" w:customStyle="1" w:styleId="berschrift3Zchn">
    <w:name w:val="Überschrift 3 Zchn"/>
    <w:basedOn w:val="Absatz-Standardschriftart"/>
    <w:link w:val="berschrift3"/>
    <w:uiPriority w:val="9"/>
    <w:semiHidden/>
    <w:rsid w:val="001C5F45"/>
    <w:rPr>
      <w:rFonts w:asciiTheme="majorHAnsi" w:eastAsiaTheme="majorEastAsia" w:hAnsiTheme="majorHAnsi" w:cstheme="majorBidi"/>
      <w:color w:val="243F60" w:themeColor="accent1" w:themeShade="7F"/>
      <w:sz w:val="24"/>
      <w:szCs w:val="24"/>
      <w:lang w:eastAsia="de-DE"/>
    </w:rPr>
  </w:style>
  <w:style w:type="paragraph" w:styleId="StandardWeb">
    <w:name w:val="Normal (Web)"/>
    <w:basedOn w:val="Standard"/>
    <w:uiPriority w:val="99"/>
    <w:semiHidden/>
    <w:unhideWhenUsed/>
    <w:rsid w:val="001C5F45"/>
    <w:rPr>
      <w:rFonts w:ascii="Times New Roman" w:hAnsi="Times New Roman"/>
      <w:szCs w:val="24"/>
    </w:rPr>
  </w:style>
  <w:style w:type="paragraph" w:styleId="Listenabsatz">
    <w:name w:val="List Paragraph"/>
    <w:basedOn w:val="Standard"/>
    <w:uiPriority w:val="34"/>
    <w:qFormat/>
    <w:rsid w:val="005F14B4"/>
    <w:pPr>
      <w:ind w:left="720"/>
      <w:contextualSpacing/>
    </w:pPr>
  </w:style>
  <w:style w:type="character" w:styleId="Kommentarzeichen">
    <w:name w:val="annotation reference"/>
    <w:basedOn w:val="Absatz-Standardschriftart"/>
    <w:uiPriority w:val="99"/>
    <w:semiHidden/>
    <w:unhideWhenUsed/>
    <w:rsid w:val="00BA3D0D"/>
    <w:rPr>
      <w:sz w:val="16"/>
      <w:szCs w:val="16"/>
    </w:rPr>
  </w:style>
  <w:style w:type="paragraph" w:styleId="Kommentartext">
    <w:name w:val="annotation text"/>
    <w:basedOn w:val="Standard"/>
    <w:link w:val="KommentartextZchn"/>
    <w:uiPriority w:val="99"/>
    <w:unhideWhenUsed/>
    <w:rsid w:val="00BA3D0D"/>
    <w:rPr>
      <w:sz w:val="20"/>
    </w:rPr>
  </w:style>
  <w:style w:type="character" w:customStyle="1" w:styleId="KommentartextZchn">
    <w:name w:val="Kommentartext Zchn"/>
    <w:basedOn w:val="Absatz-Standardschriftart"/>
    <w:link w:val="Kommentartext"/>
    <w:uiPriority w:val="99"/>
    <w:rsid w:val="00BA3D0D"/>
    <w:rPr>
      <w:lang w:eastAsia="de-DE"/>
    </w:rPr>
  </w:style>
  <w:style w:type="paragraph" w:styleId="Kommentarthema">
    <w:name w:val="annotation subject"/>
    <w:basedOn w:val="Kommentartext"/>
    <w:next w:val="Kommentartext"/>
    <w:link w:val="KommentarthemaZchn"/>
    <w:uiPriority w:val="99"/>
    <w:semiHidden/>
    <w:unhideWhenUsed/>
    <w:rsid w:val="00BA3D0D"/>
    <w:rPr>
      <w:b/>
      <w:bCs/>
    </w:rPr>
  </w:style>
  <w:style w:type="character" w:customStyle="1" w:styleId="KommentarthemaZchn">
    <w:name w:val="Kommentarthema Zchn"/>
    <w:basedOn w:val="KommentartextZchn"/>
    <w:link w:val="Kommentarthema"/>
    <w:uiPriority w:val="99"/>
    <w:semiHidden/>
    <w:rsid w:val="00BA3D0D"/>
    <w:rPr>
      <w:b/>
      <w:bCs/>
      <w:lang w:eastAsia="de-DE"/>
    </w:rPr>
  </w:style>
  <w:style w:type="paragraph" w:styleId="Funotentext">
    <w:name w:val="footnote text"/>
    <w:basedOn w:val="Standard"/>
    <w:link w:val="FunotentextZchn"/>
    <w:uiPriority w:val="99"/>
    <w:semiHidden/>
    <w:unhideWhenUsed/>
    <w:rsid w:val="00643FA7"/>
    <w:rPr>
      <w:sz w:val="20"/>
    </w:rPr>
  </w:style>
  <w:style w:type="character" w:customStyle="1" w:styleId="FunotentextZchn">
    <w:name w:val="Fußnotentext Zchn"/>
    <w:basedOn w:val="Absatz-Standardschriftart"/>
    <w:link w:val="Funotentext"/>
    <w:uiPriority w:val="99"/>
    <w:semiHidden/>
    <w:rsid w:val="00643FA7"/>
    <w:rPr>
      <w:lang w:eastAsia="de-DE"/>
    </w:rPr>
  </w:style>
  <w:style w:type="character" w:styleId="Funotenzeichen">
    <w:name w:val="footnote reference"/>
    <w:basedOn w:val="Absatz-Standardschriftart"/>
    <w:uiPriority w:val="99"/>
    <w:semiHidden/>
    <w:unhideWhenUsed/>
    <w:rsid w:val="00643FA7"/>
    <w:rPr>
      <w:vertAlign w:val="superscript"/>
    </w:rPr>
  </w:style>
  <w:style w:type="paragraph" w:styleId="berarbeitung">
    <w:name w:val="Revision"/>
    <w:hidden/>
    <w:uiPriority w:val="99"/>
    <w:semiHidden/>
    <w:rsid w:val="00B80B43"/>
    <w:rPr>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67273">
      <w:bodyDiv w:val="1"/>
      <w:marLeft w:val="0"/>
      <w:marRight w:val="0"/>
      <w:marTop w:val="0"/>
      <w:marBottom w:val="0"/>
      <w:divBdr>
        <w:top w:val="none" w:sz="0" w:space="0" w:color="auto"/>
        <w:left w:val="none" w:sz="0" w:space="0" w:color="auto"/>
        <w:bottom w:val="none" w:sz="0" w:space="0" w:color="auto"/>
        <w:right w:val="none" w:sz="0" w:space="0" w:color="auto"/>
      </w:divBdr>
    </w:div>
    <w:div w:id="389696869">
      <w:bodyDiv w:val="1"/>
      <w:marLeft w:val="0"/>
      <w:marRight w:val="0"/>
      <w:marTop w:val="0"/>
      <w:marBottom w:val="0"/>
      <w:divBdr>
        <w:top w:val="none" w:sz="0" w:space="0" w:color="auto"/>
        <w:left w:val="none" w:sz="0" w:space="0" w:color="auto"/>
        <w:bottom w:val="none" w:sz="0" w:space="0" w:color="auto"/>
        <w:right w:val="none" w:sz="0" w:space="0" w:color="auto"/>
      </w:divBdr>
    </w:div>
    <w:div w:id="438915389">
      <w:bodyDiv w:val="1"/>
      <w:marLeft w:val="0"/>
      <w:marRight w:val="0"/>
      <w:marTop w:val="0"/>
      <w:marBottom w:val="0"/>
      <w:divBdr>
        <w:top w:val="none" w:sz="0" w:space="0" w:color="auto"/>
        <w:left w:val="none" w:sz="0" w:space="0" w:color="auto"/>
        <w:bottom w:val="none" w:sz="0" w:space="0" w:color="auto"/>
        <w:right w:val="none" w:sz="0" w:space="0" w:color="auto"/>
      </w:divBdr>
    </w:div>
    <w:div w:id="764035042">
      <w:bodyDiv w:val="1"/>
      <w:marLeft w:val="0"/>
      <w:marRight w:val="0"/>
      <w:marTop w:val="0"/>
      <w:marBottom w:val="0"/>
      <w:divBdr>
        <w:top w:val="none" w:sz="0" w:space="0" w:color="auto"/>
        <w:left w:val="none" w:sz="0" w:space="0" w:color="auto"/>
        <w:bottom w:val="none" w:sz="0" w:space="0" w:color="auto"/>
        <w:right w:val="none" w:sz="0" w:space="0" w:color="auto"/>
      </w:divBdr>
    </w:div>
    <w:div w:id="1066413536">
      <w:bodyDiv w:val="1"/>
      <w:marLeft w:val="0"/>
      <w:marRight w:val="0"/>
      <w:marTop w:val="0"/>
      <w:marBottom w:val="0"/>
      <w:divBdr>
        <w:top w:val="none" w:sz="0" w:space="0" w:color="auto"/>
        <w:left w:val="none" w:sz="0" w:space="0" w:color="auto"/>
        <w:bottom w:val="none" w:sz="0" w:space="0" w:color="auto"/>
        <w:right w:val="none" w:sz="0" w:space="0" w:color="auto"/>
      </w:divBdr>
    </w:div>
    <w:div w:id="1300572087">
      <w:bodyDiv w:val="1"/>
      <w:marLeft w:val="0"/>
      <w:marRight w:val="0"/>
      <w:marTop w:val="0"/>
      <w:marBottom w:val="0"/>
      <w:divBdr>
        <w:top w:val="none" w:sz="0" w:space="0" w:color="auto"/>
        <w:left w:val="none" w:sz="0" w:space="0" w:color="auto"/>
        <w:bottom w:val="none" w:sz="0" w:space="0" w:color="auto"/>
        <w:right w:val="none" w:sz="0" w:space="0" w:color="auto"/>
      </w:divBdr>
    </w:div>
    <w:div w:id="20664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itzer.d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bitzer.de/empco-richtlin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C69DABFD88438C9E220A3559B6698A"/>
        <w:category>
          <w:name w:val="Allgemein"/>
          <w:gallery w:val="placeholder"/>
        </w:category>
        <w:types>
          <w:type w:val="bbPlcHdr"/>
        </w:types>
        <w:behaviors>
          <w:behavior w:val="content"/>
        </w:behaviors>
        <w:guid w:val="{60537D4B-D197-4AE3-A8B6-D63E9F6EF042}"/>
      </w:docPartPr>
      <w:docPartBody>
        <w:p w:rsidR="00210DE9" w:rsidRDefault="00210DE9">
          <w:pPr>
            <w:pStyle w:val="D0C69DABFD88438C9E220A3559B6698A"/>
          </w:pPr>
          <w:r w:rsidRPr="006654DF">
            <w:rPr>
              <w:rStyle w:val="Platzhaltertext"/>
            </w:rPr>
            <w:t>Klicken oder tippen Sie hier, um Text einzugeben.</w:t>
          </w:r>
        </w:p>
      </w:docPartBody>
    </w:docPart>
    <w:docPart>
      <w:docPartPr>
        <w:name w:val="DB0CF9C769D94FDE89D746DDCA7A87A5"/>
        <w:category>
          <w:name w:val="Allgemein"/>
          <w:gallery w:val="placeholder"/>
        </w:category>
        <w:types>
          <w:type w:val="bbPlcHdr"/>
        </w:types>
        <w:behaviors>
          <w:behavior w:val="content"/>
        </w:behaviors>
        <w:guid w:val="{E6D3F308-D5A7-4028-A061-4FDECBC0DA30}"/>
      </w:docPartPr>
      <w:docPartBody>
        <w:p w:rsidR="00210DE9" w:rsidRDefault="00210DE9">
          <w:pPr>
            <w:pStyle w:val="DB0CF9C769D94FDE89D746DDCA7A87A5"/>
          </w:pPr>
          <w:r w:rsidRPr="006654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E9"/>
    <w:rsid w:val="00081197"/>
    <w:rsid w:val="001C12B0"/>
    <w:rsid w:val="00210DE9"/>
    <w:rsid w:val="002944C6"/>
    <w:rsid w:val="003724E8"/>
    <w:rsid w:val="00424C68"/>
    <w:rsid w:val="004254B1"/>
    <w:rsid w:val="004A0929"/>
    <w:rsid w:val="004D287D"/>
    <w:rsid w:val="004E48D4"/>
    <w:rsid w:val="00505AC5"/>
    <w:rsid w:val="00560B7F"/>
    <w:rsid w:val="006B5459"/>
    <w:rsid w:val="006F6269"/>
    <w:rsid w:val="007D0391"/>
    <w:rsid w:val="00920E73"/>
    <w:rsid w:val="00AC551E"/>
    <w:rsid w:val="00B325A0"/>
    <w:rsid w:val="00B64535"/>
    <w:rsid w:val="00BE3CC1"/>
    <w:rsid w:val="00C16B7B"/>
    <w:rsid w:val="00C54D1C"/>
    <w:rsid w:val="00CC093D"/>
    <w:rsid w:val="00CD7A87"/>
    <w:rsid w:val="00D011F8"/>
    <w:rsid w:val="00D5615A"/>
    <w:rsid w:val="00D77FDB"/>
    <w:rsid w:val="00DF501C"/>
    <w:rsid w:val="00F13625"/>
    <w:rsid w:val="00F5791A"/>
    <w:rsid w:val="00F71EF5"/>
    <w:rsid w:val="00FA0E31"/>
    <w:rsid w:val="00FB038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D0C69DABFD88438C9E220A3559B6698A">
    <w:name w:val="D0C69DABFD88438C9E220A3559B6698A"/>
  </w:style>
  <w:style w:type="paragraph" w:customStyle="1" w:styleId="DB0CF9C769D94FDE89D746DDCA7A87A5">
    <w:name w:val="DB0CF9C769D94FDE89D746DDCA7A87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6a2b8f-c518-4a16-a35f-018db47603b8">
      <Terms xmlns="http://schemas.microsoft.com/office/infopath/2007/PartnerControls"/>
    </lcf76f155ced4ddcb4097134ff3c332f>
    <TaxCatchAll xmlns="fd2c8760-fd49-4ad7-b0eb-e4505a1fa2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7D3F658AEC3C48BBF393F29EC9F271" ma:contentTypeVersion="13" ma:contentTypeDescription="Create a new document." ma:contentTypeScope="" ma:versionID="3056b59e31a98b42098fed9d9bec62a9">
  <xsd:schema xmlns:xsd="http://www.w3.org/2001/XMLSchema" xmlns:xs="http://www.w3.org/2001/XMLSchema" xmlns:p="http://schemas.microsoft.com/office/2006/metadata/properties" xmlns:ns2="dd6a2b8f-c518-4a16-a35f-018db47603b8" xmlns:ns3="fd2c8760-fd49-4ad7-b0eb-e4505a1fa2ff" targetNamespace="http://schemas.microsoft.com/office/2006/metadata/properties" ma:root="true" ma:fieldsID="29d2e25d37a6b922a8daaeea18b25efe" ns2:_="" ns3:_="">
    <xsd:import namespace="dd6a2b8f-c518-4a16-a35f-018db47603b8"/>
    <xsd:import namespace="fd2c8760-fd49-4ad7-b0eb-e4505a1fa2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a2b8f-c518-4a16-a35f-018db47603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3b215e8-8de2-4741-8ae7-261556133c1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2c8760-fd49-4ad7-b0eb-e4505a1fa2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abf82a5-1c96-4a08-be28-6e5e5a00172e}" ma:internalName="TaxCatchAll" ma:showField="CatchAllData" ma:web="fd2c8760-fd49-4ad7-b0eb-e4505a1fa2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A963E8-78E8-4F8A-84BA-616F59C52A67}">
  <ds:schemaRefs>
    <ds:schemaRef ds:uri="http://schemas.microsoft.com/office/2006/metadata/properties"/>
    <ds:schemaRef ds:uri="http://schemas.microsoft.com/office/infopath/2007/PartnerControls"/>
    <ds:schemaRef ds:uri="dd6a2b8f-c518-4a16-a35f-018db47603b8"/>
    <ds:schemaRef ds:uri="fd2c8760-fd49-4ad7-b0eb-e4505a1fa2ff"/>
  </ds:schemaRefs>
</ds:datastoreItem>
</file>

<file path=customXml/itemProps2.xml><?xml version="1.0" encoding="utf-8"?>
<ds:datastoreItem xmlns:ds="http://schemas.openxmlformats.org/officeDocument/2006/customXml" ds:itemID="{99FF2B7E-1226-4FA3-A068-B564A9C1CB6B}">
  <ds:schemaRefs>
    <ds:schemaRef ds:uri="http://schemas.openxmlformats.org/officeDocument/2006/bibliography"/>
  </ds:schemaRefs>
</ds:datastoreItem>
</file>

<file path=customXml/itemProps3.xml><?xml version="1.0" encoding="utf-8"?>
<ds:datastoreItem xmlns:ds="http://schemas.openxmlformats.org/officeDocument/2006/customXml" ds:itemID="{146AEF8B-3A41-46EE-AE2A-AEE6B92354B1}">
  <ds:schemaRefs>
    <ds:schemaRef ds:uri="http://schemas.microsoft.com/sharepoint/v3/contenttype/forms"/>
  </ds:schemaRefs>
</ds:datastoreItem>
</file>

<file path=customXml/itemProps4.xml><?xml version="1.0" encoding="utf-8"?>
<ds:datastoreItem xmlns:ds="http://schemas.openxmlformats.org/officeDocument/2006/customXml" ds:itemID="{C96C4F80-AAA0-4F11-90B5-F5DB38687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6a2b8f-c518-4a16-a35f-018db47603b8"/>
    <ds:schemaRef ds:uri="fd2c8760-fd49-4ad7-b0eb-e4505a1fa2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1319</Words>
  <Characters>9743</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Ihr Zeichen</vt:lpstr>
      <vt:lpstr>Ihr Zeichen</vt:lpstr>
    </vt:vector>
  </TitlesOfParts>
  <Company>Ritter</Company>
  <LinksUpToDate>false</LinksUpToDate>
  <CharactersWithSpaces>11040</CharactersWithSpaces>
  <SharedDoc>false</SharedDoc>
  <HLinks>
    <vt:vector size="6" baseType="variant">
      <vt:variant>
        <vt:i4>1245269</vt:i4>
      </vt:variant>
      <vt:variant>
        <vt:i4>0</vt:i4>
      </vt:variant>
      <vt:variant>
        <vt:i4>0</vt:i4>
      </vt:variant>
      <vt:variant>
        <vt:i4>5</vt:i4>
      </vt:variant>
      <vt:variant>
        <vt:lpwstr>http://www.bitzer.de/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Zeichen</dc:title>
  <dc:subject/>
  <dc:creator>Konopka, Carina</dc:creator>
  <cp:keywords/>
  <cp:lastModifiedBy>Konopka, Carina</cp:lastModifiedBy>
  <cp:revision>5</cp:revision>
  <cp:lastPrinted>2019-07-05T21:24:00Z</cp:lastPrinted>
  <dcterms:created xsi:type="dcterms:W3CDTF">2026-04-07T11:52:00Z</dcterms:created>
  <dcterms:modified xsi:type="dcterms:W3CDTF">2026-04-08T05:03:00Z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tenzahl">
    <vt:lpwstr>2</vt:lpwstr>
  </property>
  <property fmtid="{D5CDD505-2E9C-101B-9397-08002B2CF9AE}" pid="3" name="ContentTypeId">
    <vt:lpwstr>0x010100977D3F658AEC3C48BBF393F29EC9F271</vt:lpwstr>
  </property>
  <property fmtid="{D5CDD505-2E9C-101B-9397-08002B2CF9AE}" pid="4" name="docLang">
    <vt:lpwstr>de</vt:lpwstr>
  </property>
  <property fmtid="{D5CDD505-2E9C-101B-9397-08002B2CF9AE}" pid="5" name="MediaServiceImageTags">
    <vt:lpwstr/>
  </property>
</Properties>
</file>