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B74276" w14:textId="77777777" w:rsidR="00304F6B" w:rsidRPr="00DB5F4E" w:rsidRDefault="00304F6B" w:rsidP="00304F6B">
      <w:pPr>
        <w:rPr>
          <w:rFonts w:ascii="Tahoma" w:hAnsi="Tahoma"/>
          <w:sz w:val="22"/>
          <w:szCs w:val="22"/>
        </w:rPr>
      </w:pPr>
    </w:p>
    <w:p w14:paraId="0F7D64F7" w14:textId="75B019EA" w:rsidR="00304F6B" w:rsidRPr="0068186D" w:rsidRDefault="004D3073" w:rsidP="00A03FAE">
      <w:pPr>
        <w:tabs>
          <w:tab w:val="left" w:pos="6486"/>
        </w:tabs>
        <w:rPr>
          <w:rFonts w:ascii="Tahoma" w:hAnsi="Tahoma"/>
          <w:sz w:val="22"/>
          <w:szCs w:val="22"/>
        </w:rPr>
      </w:pPr>
      <w:r>
        <w:rPr>
          <w:rFonts w:ascii="Tahoma" w:hAnsi="Tahoma"/>
          <w:noProof/>
          <w:sz w:val="16"/>
          <w:szCs w:val="16"/>
          <w:lang w:val="de-DE" w:eastAsia="zh-CN" w:bidi="ar-SA"/>
        </w:rPr>
        <w:drawing>
          <wp:anchor distT="0" distB="0" distL="114300" distR="114300" simplePos="0" relativeHeight="251659264" behindDoc="1" locked="1" layoutInCell="1" allowOverlap="1" wp14:anchorId="67699C15" wp14:editId="3033E712">
            <wp:simplePos x="0" y="0"/>
            <wp:positionH relativeFrom="column">
              <wp:posOffset>0</wp:posOffset>
            </wp:positionH>
            <wp:positionV relativeFrom="paragraph">
              <wp:posOffset>5080</wp:posOffset>
            </wp:positionV>
            <wp:extent cx="6371590" cy="1893570"/>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71590" cy="1893570"/>
                    </a:xfrm>
                    <a:prstGeom prst="rect">
                      <a:avLst/>
                    </a:prstGeom>
                  </pic:spPr>
                </pic:pic>
              </a:graphicData>
            </a:graphic>
            <wp14:sizeRelH relativeFrom="margin">
              <wp14:pctWidth>0</wp14:pctWidth>
            </wp14:sizeRelH>
            <wp14:sizeRelV relativeFrom="margin">
              <wp14:pctHeight>0</wp14:pctHeight>
            </wp14:sizeRelV>
          </wp:anchor>
        </w:drawing>
      </w:r>
      <w:r w:rsidR="00A03FAE">
        <w:rPr>
          <w:rFonts w:ascii="Tahoma" w:hAnsi="Tahoma"/>
          <w:sz w:val="22"/>
          <w:szCs w:val="22"/>
        </w:rPr>
        <w:tab/>
      </w:r>
    </w:p>
    <w:p w14:paraId="5896FEC4" w14:textId="77777777" w:rsidR="00304F6B" w:rsidRDefault="00304F6B" w:rsidP="00304F6B">
      <w:pPr>
        <w:rPr>
          <w:rFonts w:ascii="Tahoma" w:hAnsi="Tahoma" w:cs="Tahoma"/>
          <w:noProof/>
          <w:sz w:val="16"/>
          <w:szCs w:val="16"/>
          <w:lang w:val="de-DE" w:eastAsia="zh-CN" w:bidi="ar-SA"/>
        </w:rPr>
      </w:pPr>
    </w:p>
    <w:p w14:paraId="33B89765" w14:textId="41A1C284" w:rsidR="00304F6B" w:rsidRDefault="00304F6B" w:rsidP="00304F6B">
      <w:pPr>
        <w:rPr>
          <w:rFonts w:ascii="Tahoma" w:hAnsi="Tahoma" w:cs="Tahoma"/>
          <w:noProof/>
          <w:sz w:val="16"/>
          <w:szCs w:val="16"/>
        </w:rPr>
      </w:pPr>
    </w:p>
    <w:p w14:paraId="4B94D0A3" w14:textId="77777777" w:rsidR="00304F6B" w:rsidRDefault="00304F6B" w:rsidP="00304F6B">
      <w:pPr>
        <w:rPr>
          <w:rFonts w:ascii="Tahoma" w:hAnsi="Tahoma" w:cs="Tahoma"/>
          <w:noProof/>
          <w:sz w:val="16"/>
          <w:szCs w:val="16"/>
          <w:lang w:val="de-DE" w:eastAsia="zh-CN" w:bidi="ar-SA"/>
        </w:rPr>
      </w:pPr>
    </w:p>
    <w:p w14:paraId="2714D9FA" w14:textId="7592256A" w:rsidR="00304F6B" w:rsidRDefault="00304F6B" w:rsidP="00F60CE3">
      <w:pPr>
        <w:tabs>
          <w:tab w:val="left" w:pos="7020"/>
        </w:tabs>
        <w:rPr>
          <w:rFonts w:ascii="Tahoma" w:hAnsi="Tahoma" w:cs="Tahoma"/>
          <w:noProof/>
          <w:sz w:val="16"/>
          <w:szCs w:val="16"/>
          <w:lang w:val="de-DE" w:eastAsia="zh-CN" w:bidi="ar-SA"/>
        </w:rPr>
      </w:pPr>
    </w:p>
    <w:p w14:paraId="65FB20B6" w14:textId="77777777" w:rsidR="00304F6B" w:rsidRDefault="00304F6B" w:rsidP="00304F6B">
      <w:pPr>
        <w:rPr>
          <w:rFonts w:ascii="Tahoma" w:hAnsi="Tahoma" w:cs="Tahoma"/>
          <w:noProof/>
          <w:sz w:val="16"/>
          <w:szCs w:val="16"/>
          <w:lang w:val="de-DE" w:eastAsia="zh-CN" w:bidi="ar-SA"/>
        </w:rPr>
      </w:pPr>
    </w:p>
    <w:p w14:paraId="6E22DE99" w14:textId="77777777" w:rsidR="00304F6B" w:rsidRDefault="00304F6B" w:rsidP="00304F6B">
      <w:pPr>
        <w:rPr>
          <w:rFonts w:ascii="Tahoma" w:hAnsi="Tahoma" w:cs="Tahoma"/>
          <w:noProof/>
          <w:sz w:val="16"/>
          <w:szCs w:val="16"/>
          <w:lang w:val="de-DE" w:eastAsia="zh-CN" w:bidi="ar-SA"/>
        </w:rPr>
      </w:pPr>
    </w:p>
    <w:p w14:paraId="4AC296C8" w14:textId="77777777" w:rsidR="00304F6B" w:rsidRDefault="00304F6B" w:rsidP="00304F6B">
      <w:pPr>
        <w:rPr>
          <w:rFonts w:ascii="Tahoma" w:hAnsi="Tahoma" w:cs="Tahoma"/>
          <w:noProof/>
          <w:sz w:val="16"/>
          <w:szCs w:val="16"/>
          <w:lang w:val="de-DE" w:eastAsia="zh-CN" w:bidi="ar-SA"/>
        </w:rPr>
      </w:pPr>
    </w:p>
    <w:p w14:paraId="261F5298" w14:textId="77777777" w:rsidR="00304F6B" w:rsidRDefault="00304F6B" w:rsidP="00304F6B">
      <w:pPr>
        <w:rPr>
          <w:rFonts w:ascii="Tahoma" w:hAnsi="Tahoma" w:cs="Tahoma"/>
          <w:noProof/>
          <w:sz w:val="16"/>
          <w:szCs w:val="16"/>
          <w:lang w:val="de-DE" w:eastAsia="zh-CN" w:bidi="ar-SA"/>
        </w:rPr>
      </w:pPr>
    </w:p>
    <w:p w14:paraId="1AB06631" w14:textId="77777777" w:rsidR="00304F6B" w:rsidRDefault="00304F6B" w:rsidP="00304F6B">
      <w:pPr>
        <w:rPr>
          <w:rFonts w:ascii="Tahoma" w:hAnsi="Tahoma" w:cs="Tahoma"/>
          <w:noProof/>
          <w:sz w:val="16"/>
          <w:szCs w:val="16"/>
          <w:lang w:val="de-DE" w:eastAsia="zh-CN" w:bidi="ar-SA"/>
        </w:rPr>
      </w:pPr>
    </w:p>
    <w:p w14:paraId="7C4D1886" w14:textId="77777777" w:rsidR="00304F6B" w:rsidRDefault="00304F6B" w:rsidP="00304F6B">
      <w:pPr>
        <w:rPr>
          <w:rFonts w:ascii="Tahoma" w:hAnsi="Tahoma" w:cs="Tahoma"/>
          <w:noProof/>
          <w:sz w:val="16"/>
          <w:szCs w:val="16"/>
          <w:lang w:val="de-DE" w:eastAsia="zh-CN" w:bidi="ar-SA"/>
        </w:rPr>
      </w:pPr>
    </w:p>
    <w:p w14:paraId="34B2CBC2" w14:textId="77777777" w:rsidR="00304F6B" w:rsidRDefault="00304F6B" w:rsidP="00304F6B">
      <w:pPr>
        <w:rPr>
          <w:rFonts w:ascii="Tahoma" w:hAnsi="Tahoma" w:cs="Tahoma"/>
          <w:noProof/>
          <w:sz w:val="16"/>
          <w:szCs w:val="16"/>
          <w:lang w:val="de-DE" w:eastAsia="zh-CN" w:bidi="ar-SA"/>
        </w:rPr>
      </w:pPr>
    </w:p>
    <w:p w14:paraId="4A3FADB7" w14:textId="77777777" w:rsidR="00304F6B" w:rsidRDefault="00304F6B" w:rsidP="00304F6B">
      <w:pPr>
        <w:rPr>
          <w:rFonts w:ascii="Tahoma" w:hAnsi="Tahoma" w:cs="Tahoma"/>
          <w:noProof/>
          <w:sz w:val="16"/>
          <w:szCs w:val="16"/>
          <w:lang w:val="de-DE" w:eastAsia="zh-CN" w:bidi="ar-SA"/>
        </w:rPr>
      </w:pPr>
    </w:p>
    <w:p w14:paraId="07F80FF7" w14:textId="77777777" w:rsidR="00304F6B" w:rsidRDefault="00304F6B" w:rsidP="00304F6B">
      <w:pPr>
        <w:rPr>
          <w:rFonts w:ascii="Tahoma" w:hAnsi="Tahoma" w:cs="Tahoma"/>
          <w:noProof/>
          <w:sz w:val="16"/>
          <w:szCs w:val="16"/>
          <w:lang w:val="de-DE" w:eastAsia="zh-CN" w:bidi="ar-SA"/>
        </w:rPr>
      </w:pPr>
    </w:p>
    <w:p w14:paraId="528918F9" w14:textId="77777777" w:rsidR="00304F6B" w:rsidRDefault="00304F6B" w:rsidP="00304F6B">
      <w:pPr>
        <w:rPr>
          <w:rFonts w:ascii="Tahoma" w:hAnsi="Tahoma" w:cs="Tahoma"/>
          <w:noProof/>
          <w:sz w:val="16"/>
          <w:szCs w:val="16"/>
          <w:lang w:val="de-DE" w:eastAsia="zh-CN" w:bidi="ar-SA"/>
        </w:rPr>
      </w:pPr>
    </w:p>
    <w:p w14:paraId="708FE2AB" w14:textId="77777777" w:rsidR="00304F6B" w:rsidRDefault="00304F6B" w:rsidP="00304F6B">
      <w:pPr>
        <w:rPr>
          <w:rFonts w:ascii="Tahoma" w:hAnsi="Tahoma" w:cs="Tahoma"/>
          <w:noProof/>
          <w:sz w:val="16"/>
          <w:szCs w:val="16"/>
          <w:lang w:val="de-DE" w:eastAsia="zh-CN" w:bidi="ar-SA"/>
        </w:rPr>
      </w:pPr>
    </w:p>
    <w:p w14:paraId="722B7C31" w14:textId="334EE1AE" w:rsidR="004E766F" w:rsidRDefault="004E766F" w:rsidP="00304F6B">
      <w:pPr>
        <w:rPr>
          <w:rFonts w:ascii="Tahoma" w:hAnsi="Tahoma"/>
          <w:sz w:val="22"/>
          <w:szCs w:val="22"/>
          <w:lang w:val="de-DE"/>
        </w:rPr>
      </w:pPr>
    </w:p>
    <w:p w14:paraId="74348EC6" w14:textId="77777777" w:rsidR="00853CE0" w:rsidRPr="006F7A28" w:rsidRDefault="00853CE0" w:rsidP="00304F6B">
      <w:pPr>
        <w:rPr>
          <w:rFonts w:ascii="Tahoma" w:hAnsi="Tahoma" w:cs="Tahoma"/>
          <w:b/>
          <w:sz w:val="28"/>
          <w:szCs w:val="28"/>
          <w:lang w:val="de-DE"/>
        </w:rPr>
      </w:pPr>
    </w:p>
    <w:p w14:paraId="6CDB0187" w14:textId="450EAE51" w:rsidR="00001D14" w:rsidRDefault="008319D9" w:rsidP="00853CE0">
      <w:pPr>
        <w:spacing w:line="360" w:lineRule="auto"/>
        <w:rPr>
          <w:rFonts w:ascii="Tahoma" w:hAnsi="Tahoma"/>
          <w:b/>
          <w:sz w:val="28"/>
        </w:rPr>
      </w:pPr>
      <w:r>
        <w:rPr>
          <w:rFonts w:ascii="Tahoma" w:hAnsi="Tahoma"/>
          <w:b/>
          <w:sz w:val="28"/>
        </w:rPr>
        <w:t>These days, cooling technology is where it’s at</w:t>
      </w:r>
    </w:p>
    <w:p w14:paraId="5F423549" w14:textId="77777777" w:rsidR="008319D9" w:rsidRPr="004D3073" w:rsidRDefault="008319D9" w:rsidP="00853CE0">
      <w:pPr>
        <w:spacing w:line="360" w:lineRule="auto"/>
        <w:rPr>
          <w:rFonts w:ascii="Tahoma" w:hAnsi="Tahoma" w:cs="Tahoma"/>
        </w:rPr>
      </w:pPr>
    </w:p>
    <w:p w14:paraId="0884467A" w14:textId="546B6E19" w:rsidR="004E766F" w:rsidRPr="009D49E0" w:rsidRDefault="00853CE0" w:rsidP="00EC5E84">
      <w:pPr>
        <w:spacing w:after="200" w:line="360" w:lineRule="auto"/>
        <w:rPr>
          <w:rFonts w:ascii="Tahoma" w:eastAsia="Times" w:hAnsi="Tahoma" w:cs="Tahoma"/>
          <w:i/>
          <w:sz w:val="22"/>
          <w:szCs w:val="22"/>
        </w:rPr>
      </w:pPr>
      <w:r>
        <w:rPr>
          <w:rFonts w:ascii="Tahoma" w:hAnsi="Tahoma"/>
          <w:i/>
          <w:sz w:val="22"/>
          <w:szCs w:val="22"/>
        </w:rPr>
        <w:t>Sindelfingen, 2</w:t>
      </w:r>
      <w:r w:rsidR="0081387D">
        <w:rPr>
          <w:rFonts w:ascii="Tahoma" w:hAnsi="Tahoma"/>
          <w:i/>
          <w:sz w:val="22"/>
          <w:szCs w:val="22"/>
        </w:rPr>
        <w:t>5</w:t>
      </w:r>
      <w:r>
        <w:rPr>
          <w:rFonts w:ascii="Tahoma" w:hAnsi="Tahoma"/>
          <w:i/>
          <w:sz w:val="22"/>
          <w:szCs w:val="22"/>
        </w:rPr>
        <w:t xml:space="preserve">.06.2019. On 26 June 2019, the refrigeration and air conditioning industry will celebrate the first World Refrigeration Day. The industry will use this day to draw attention to its importance. Today, modern life is simply not possible without refrigeration and air conditioning technology. </w:t>
      </w:r>
    </w:p>
    <w:p w14:paraId="765DF689" w14:textId="26ABDF35" w:rsidR="00716E9B" w:rsidRDefault="00135BD0" w:rsidP="00352AA8">
      <w:pPr>
        <w:spacing w:after="240" w:line="360" w:lineRule="auto"/>
        <w:rPr>
          <w:rFonts w:ascii="Tahoma" w:hAnsi="Tahoma" w:cs="Tahoma"/>
          <w:sz w:val="22"/>
          <w:szCs w:val="22"/>
        </w:rPr>
      </w:pPr>
      <w:r>
        <w:rPr>
          <w:rFonts w:ascii="Tahoma" w:hAnsi="Tahoma"/>
          <w:sz w:val="22"/>
          <w:szCs w:val="22"/>
        </w:rPr>
        <w:t>No fresh bread rolls, no blood reserves in hospitals, no data-processing centre, no mobile communications network – these would be just a few of the consequences if refrigeration and air conditioning technology did not exist. Scarcely imaginable. Many other things in daily life, as we know it, only work reliably and invisibly thanks to refrigeration and air conditioning technology working in the background. Patrick Koops, Head of Public Relations at BITZER in Sindelfingen, states: ‘Our industry is largely unknown to the public. Few people are aware of the immense importance of the products we make. World Refrigeration Day is a good opportunity to put more emphasis on the importance of our industry.’ Not just the supply of food, but also health care, air conditioning in office buildings or special medical applications would not be possible without refriger</w:t>
      </w:r>
      <w:bookmarkStart w:id="0" w:name="_GoBack"/>
      <w:bookmarkEnd w:id="0"/>
      <w:r>
        <w:rPr>
          <w:rFonts w:ascii="Tahoma" w:hAnsi="Tahoma"/>
          <w:sz w:val="22"/>
          <w:szCs w:val="22"/>
        </w:rPr>
        <w:t>ation and air conditioning. ‘Hardly anyone knows of another use for refrigeration technology,’ contin</w:t>
      </w:r>
      <w:r w:rsidR="0081387D">
        <w:rPr>
          <w:rFonts w:ascii="Tahoma" w:hAnsi="Tahoma"/>
          <w:sz w:val="22"/>
          <w:szCs w:val="22"/>
        </w:rPr>
        <w:t>ues</w:t>
      </w:r>
      <w:r>
        <w:rPr>
          <w:rFonts w:ascii="Tahoma" w:hAnsi="Tahoma"/>
          <w:sz w:val="22"/>
          <w:szCs w:val="22"/>
        </w:rPr>
        <w:t xml:space="preserve"> Koops. ‘Heat pumps work along the same principle and are a highly environmentally friendly way of heating.’ He </w:t>
      </w:r>
      <w:r w:rsidR="0081387D">
        <w:rPr>
          <w:rFonts w:ascii="Tahoma" w:hAnsi="Tahoma"/>
          <w:sz w:val="22"/>
          <w:szCs w:val="22"/>
        </w:rPr>
        <w:t>is</w:t>
      </w:r>
      <w:r>
        <w:rPr>
          <w:rFonts w:ascii="Tahoma" w:hAnsi="Tahoma"/>
          <w:sz w:val="22"/>
          <w:szCs w:val="22"/>
        </w:rPr>
        <w:t xml:space="preserve"> thus also convinced that refrigeration, air conditioning and heat pump technology will be playing a major role in the coming transition to sustainable energy. ‘That’s why we at BITZER immediately chose to support World Refrigeration Day,’ add</w:t>
      </w:r>
      <w:r w:rsidR="0081387D">
        <w:rPr>
          <w:rFonts w:ascii="Tahoma" w:hAnsi="Tahoma"/>
          <w:sz w:val="22"/>
          <w:szCs w:val="22"/>
        </w:rPr>
        <w:t>s</w:t>
      </w:r>
      <w:r>
        <w:rPr>
          <w:rFonts w:ascii="Tahoma" w:hAnsi="Tahoma"/>
          <w:sz w:val="22"/>
          <w:szCs w:val="22"/>
        </w:rPr>
        <w:t xml:space="preserve"> Koops. </w:t>
      </w:r>
    </w:p>
    <w:p w14:paraId="7236E743" w14:textId="0A6754AC" w:rsidR="001B0851" w:rsidRDefault="00716E9B" w:rsidP="00C33CB9">
      <w:pPr>
        <w:spacing w:after="240" w:line="360" w:lineRule="auto"/>
        <w:rPr>
          <w:rFonts w:ascii="Tahoma" w:hAnsi="Tahoma" w:cs="Tahoma"/>
          <w:sz w:val="22"/>
          <w:szCs w:val="22"/>
        </w:rPr>
      </w:pPr>
      <w:r>
        <w:rPr>
          <w:rFonts w:ascii="Tahoma" w:hAnsi="Tahoma"/>
          <w:sz w:val="22"/>
          <w:szCs w:val="22"/>
        </w:rPr>
        <w:t xml:space="preserve">International companies and associations have planned various campaigns to be held on 26 </w:t>
      </w:r>
      <w:r w:rsidR="0081387D">
        <w:rPr>
          <w:rFonts w:ascii="Tahoma" w:hAnsi="Tahoma"/>
          <w:sz w:val="22"/>
          <w:szCs w:val="22"/>
        </w:rPr>
        <w:t>June</w:t>
      </w:r>
      <w:r>
        <w:rPr>
          <w:rFonts w:ascii="Tahoma" w:hAnsi="Tahoma"/>
          <w:sz w:val="22"/>
          <w:szCs w:val="22"/>
        </w:rPr>
        <w:t xml:space="preserve">. The aim is to establish World Refrigeration Day as ‘the coolest day of the year’ from now on. By the way, the date is no coincidence as the physicist William Thomson, 1st Baron Kelvin, was born in Belfast on 26 June 1824. In 1848, at the age of 24, he developed the </w:t>
      </w:r>
      <w:r>
        <w:rPr>
          <w:rFonts w:ascii="Tahoma" w:hAnsi="Tahoma"/>
          <w:sz w:val="22"/>
          <w:szCs w:val="22"/>
        </w:rPr>
        <w:lastRenderedPageBreak/>
        <w:t xml:space="preserve">thermodynamic temperature scale. Even today, the absolute temperature is still measured in units of Kelvin in his honour. </w:t>
      </w:r>
    </w:p>
    <w:p w14:paraId="1C07B736" w14:textId="77777777" w:rsidR="00E3037A" w:rsidRDefault="00E3037A" w:rsidP="001B0851">
      <w:pPr>
        <w:spacing w:after="240" w:line="360" w:lineRule="auto"/>
        <w:rPr>
          <w:rFonts w:ascii="Tahoma" w:hAnsi="Tahoma"/>
          <w:sz w:val="22"/>
          <w:szCs w:val="22"/>
        </w:rPr>
      </w:pPr>
    </w:p>
    <w:p w14:paraId="24DDC0A7" w14:textId="3BE96BC8" w:rsidR="001409F8" w:rsidRDefault="001409F8" w:rsidP="001B0851">
      <w:pPr>
        <w:spacing w:after="240" w:line="360" w:lineRule="auto"/>
        <w:rPr>
          <w:rFonts w:ascii="Tahoma" w:hAnsi="Tahoma" w:cs="Tahoma"/>
          <w:sz w:val="22"/>
          <w:szCs w:val="22"/>
        </w:rPr>
      </w:pPr>
      <w:r>
        <w:rPr>
          <w:rFonts w:ascii="Tahoma" w:hAnsi="Tahoma"/>
          <w:sz w:val="22"/>
          <w:szCs w:val="22"/>
        </w:rPr>
        <w:t xml:space="preserve">For more about World Refrigeration Day, please see </w:t>
      </w:r>
      <w:hyperlink r:id="rId9" w:history="1">
        <w:r>
          <w:rPr>
            <w:rStyle w:val="Hyperlink"/>
            <w:rFonts w:ascii="Tahoma" w:hAnsi="Tahoma"/>
            <w:color w:val="auto"/>
            <w:sz w:val="22"/>
            <w:szCs w:val="22"/>
            <w:u w:val="none"/>
          </w:rPr>
          <w:t>www.worldrefrigerationday.org</w:t>
        </w:r>
      </w:hyperlink>
      <w:r>
        <w:rPr>
          <w:rStyle w:val="Hyperlink"/>
          <w:rFonts w:ascii="Tahoma" w:hAnsi="Tahoma"/>
          <w:color w:val="auto"/>
          <w:sz w:val="22"/>
          <w:szCs w:val="22"/>
          <w:u w:val="none"/>
        </w:rPr>
        <w:t>.</w:t>
      </w:r>
    </w:p>
    <w:p w14:paraId="47485A53" w14:textId="77777777" w:rsidR="00CF0E81" w:rsidRPr="004D3073" w:rsidRDefault="00CF0E81" w:rsidP="008319D9">
      <w:pPr>
        <w:autoSpaceDE w:val="0"/>
        <w:autoSpaceDN w:val="0"/>
        <w:adjustRightInd w:val="0"/>
        <w:rPr>
          <w:rFonts w:ascii="Calibri" w:eastAsiaTheme="minorEastAsia" w:hAnsi="Calibri" w:cs="Calibri"/>
          <w:lang w:eastAsia="zh-CN" w:bidi="ar-SA"/>
        </w:rPr>
      </w:pPr>
    </w:p>
    <w:p w14:paraId="0A4B5178" w14:textId="58D3A691" w:rsidR="009A463D" w:rsidRPr="00891203" w:rsidRDefault="009A463D" w:rsidP="004E766F">
      <w:pPr>
        <w:spacing w:line="360" w:lineRule="auto"/>
        <w:jc w:val="center"/>
        <w:rPr>
          <w:rFonts w:ascii="Arial" w:hAnsi="Arial"/>
          <w:sz w:val="22"/>
        </w:rPr>
      </w:pPr>
      <w:r>
        <w:rPr>
          <w:rFonts w:ascii="Arial" w:hAnsi="Arial"/>
          <w:sz w:val="22"/>
        </w:rPr>
        <w:t>■</w:t>
      </w:r>
    </w:p>
    <w:p w14:paraId="7DDB4DD9" w14:textId="77777777" w:rsidR="00304F6B" w:rsidRPr="004D3073" w:rsidRDefault="00304F6B" w:rsidP="00304F6B">
      <w:pPr>
        <w:spacing w:line="360" w:lineRule="auto"/>
        <w:rPr>
          <w:rFonts w:ascii="Tahoma" w:hAnsi="Tahoma"/>
          <w:sz w:val="22"/>
        </w:rPr>
      </w:pPr>
    </w:p>
    <w:p w14:paraId="02F8CF41" w14:textId="0C9BFEC1" w:rsidR="0052553E" w:rsidRDefault="0052553E" w:rsidP="0052553E">
      <w:pPr>
        <w:spacing w:line="360" w:lineRule="auto"/>
        <w:rPr>
          <w:rFonts w:ascii="Tahoma" w:hAnsi="Tahoma"/>
          <w:sz w:val="20"/>
        </w:rPr>
      </w:pPr>
      <w:r>
        <w:rPr>
          <w:rFonts w:ascii="Tahoma" w:hAnsi="Tahoma"/>
          <w:sz w:val="20"/>
        </w:rPr>
        <w:t>The BITZER Group is the world’s largest independent manufacturer of refrigeration compressors. BITZER is represented across the globe through distribution companies and production facilities for reciprocating, screw and scroll compressors, heat exchangers and pressure vessels. In 201</w:t>
      </w:r>
      <w:r w:rsidR="0081387D">
        <w:rPr>
          <w:rFonts w:ascii="Tahoma" w:hAnsi="Tahoma"/>
          <w:sz w:val="20"/>
        </w:rPr>
        <w:t>8</w:t>
      </w:r>
      <w:r>
        <w:rPr>
          <w:rFonts w:ascii="Tahoma" w:hAnsi="Tahoma"/>
          <w:sz w:val="20"/>
        </w:rPr>
        <w:t>, 3,500 employees generated sales of €740 million.</w:t>
      </w:r>
    </w:p>
    <w:p w14:paraId="7E99D298" w14:textId="77777777" w:rsidR="004E766F" w:rsidRPr="004D3073" w:rsidRDefault="004E766F" w:rsidP="003D0DBF">
      <w:pPr>
        <w:spacing w:line="360" w:lineRule="auto"/>
        <w:rPr>
          <w:rFonts w:ascii="Tahoma" w:hAnsi="Tahoma"/>
          <w:sz w:val="20"/>
        </w:rPr>
      </w:pPr>
    </w:p>
    <w:p w14:paraId="20CD64C0" w14:textId="77777777" w:rsidR="0052553E" w:rsidRDefault="0052553E" w:rsidP="0052553E">
      <w:pPr>
        <w:spacing w:line="360" w:lineRule="auto"/>
        <w:rPr>
          <w:rFonts w:ascii="Tahoma" w:hAnsi="Tahoma"/>
          <w:b/>
          <w:sz w:val="20"/>
        </w:rPr>
      </w:pPr>
      <w:r>
        <w:rPr>
          <w:rFonts w:ascii="Tahoma" w:hAnsi="Tahoma"/>
          <w:b/>
          <w:sz w:val="20"/>
        </w:rPr>
        <w:t>Overview of images</w:t>
      </w:r>
    </w:p>
    <w:p w14:paraId="3F454CFF" w14:textId="677A8897" w:rsidR="008E159B" w:rsidRDefault="0052553E" w:rsidP="005249B2">
      <w:pPr>
        <w:spacing w:line="360" w:lineRule="auto"/>
        <w:rPr>
          <w:rFonts w:ascii="Tahoma" w:hAnsi="Tahoma"/>
          <w:sz w:val="20"/>
        </w:rPr>
      </w:pPr>
      <w:r>
        <w:rPr>
          <w:rFonts w:ascii="Tahoma" w:hAnsi="Tahoma"/>
          <w:sz w:val="20"/>
        </w:rPr>
        <w:t>Images may only be used for editorial purposes. They can be used free of charge if the source is given – ‘Photo: BITZER’ – and a free copy of the publication is sent to us. Images may not be modified or altered, except to crop out the background surrounding the main subject.</w:t>
      </w:r>
    </w:p>
    <w:p w14:paraId="78D76302" w14:textId="77777777" w:rsidR="00D91FD5" w:rsidRPr="004D3073" w:rsidRDefault="00D91FD5" w:rsidP="0052553E">
      <w:pPr>
        <w:spacing w:line="360" w:lineRule="auto"/>
        <w:rPr>
          <w:rFonts w:ascii="Tahoma" w:hAnsi="Tahoma"/>
          <w:sz w:val="20"/>
        </w:rPr>
      </w:pPr>
    </w:p>
    <w:p w14:paraId="79FE2E7F" w14:textId="77777777" w:rsidR="00D91FD5" w:rsidRPr="004D3073" w:rsidRDefault="00D91FD5" w:rsidP="0052553E">
      <w:pPr>
        <w:spacing w:line="360" w:lineRule="auto"/>
        <w:rPr>
          <w:rFonts w:ascii="Tahoma" w:hAnsi="Tahoma"/>
          <w:sz w:val="20"/>
        </w:rPr>
      </w:pPr>
    </w:p>
    <w:p w14:paraId="274AB832" w14:textId="68C09A47" w:rsidR="00D91FD5" w:rsidRDefault="00155BAC" w:rsidP="0052553E">
      <w:pPr>
        <w:spacing w:line="360" w:lineRule="auto"/>
        <w:rPr>
          <w:rFonts w:ascii="Tahoma" w:hAnsi="Tahoma"/>
          <w:sz w:val="20"/>
        </w:rPr>
      </w:pPr>
      <w:r>
        <w:rPr>
          <w:rFonts w:ascii="Tahoma" w:hAnsi="Tahoma"/>
          <w:noProof/>
          <w:sz w:val="20"/>
          <w:lang w:val="de-DE" w:eastAsia="zh-CN" w:bidi="ar-SA"/>
        </w:rPr>
        <w:drawing>
          <wp:inline distT="0" distB="0" distL="0" distR="0" wp14:anchorId="59CCBCF9" wp14:editId="0180DD3F">
            <wp:extent cx="4753504" cy="3168000"/>
            <wp:effectExtent l="0" t="0" r="0" b="0"/>
            <wp:docPr id="6" name="Grafik 6" descr="K:\DESDN\mbd\PR\Public_Relations\Presse_2019\BITZER_SDN\WRD_2019\PI\BITZER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DESDN\mbd\PR\Public_Relations\Presse_2019\BITZER_SDN\WRD_2019\PI\BITZER_01.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53504" cy="3168000"/>
                    </a:xfrm>
                    <a:prstGeom prst="rect">
                      <a:avLst/>
                    </a:prstGeom>
                    <a:noFill/>
                    <a:ln>
                      <a:noFill/>
                    </a:ln>
                  </pic:spPr>
                </pic:pic>
              </a:graphicData>
            </a:graphic>
          </wp:inline>
        </w:drawing>
      </w:r>
    </w:p>
    <w:p w14:paraId="22AB2279" w14:textId="04C09FBB" w:rsidR="00D91FD5" w:rsidRDefault="00D91FD5" w:rsidP="00D91FD5">
      <w:pPr>
        <w:spacing w:line="360" w:lineRule="auto"/>
        <w:rPr>
          <w:rFonts w:ascii="Tahoma" w:hAnsi="Tahoma" w:cs="Tahoma"/>
          <w:sz w:val="22"/>
          <w:szCs w:val="22"/>
        </w:rPr>
      </w:pPr>
      <w:r>
        <w:rPr>
          <w:rFonts w:ascii="Tahoma" w:hAnsi="Tahoma"/>
          <w:sz w:val="22"/>
          <w:szCs w:val="22"/>
        </w:rPr>
        <w:t>Image 1: Without reliable refrigeration, there would be no functioning cold chain</w:t>
      </w:r>
    </w:p>
    <w:p w14:paraId="563CBC4A" w14:textId="77777777" w:rsidR="00254403" w:rsidRPr="004D3073" w:rsidRDefault="00254403" w:rsidP="0052553E">
      <w:pPr>
        <w:spacing w:line="360" w:lineRule="auto"/>
        <w:rPr>
          <w:rFonts w:ascii="Tahoma" w:hAnsi="Tahoma"/>
          <w:sz w:val="20"/>
        </w:rPr>
      </w:pPr>
    </w:p>
    <w:p w14:paraId="73103D3E" w14:textId="77C435FD" w:rsidR="00254403" w:rsidRDefault="00155BAC" w:rsidP="0052553E">
      <w:pPr>
        <w:spacing w:line="360" w:lineRule="auto"/>
        <w:rPr>
          <w:rFonts w:ascii="Tahoma" w:hAnsi="Tahoma"/>
          <w:sz w:val="20"/>
        </w:rPr>
      </w:pPr>
      <w:r>
        <w:rPr>
          <w:rFonts w:ascii="Tahoma" w:hAnsi="Tahoma"/>
          <w:noProof/>
          <w:sz w:val="20"/>
          <w:lang w:val="de-DE" w:eastAsia="zh-CN" w:bidi="ar-SA"/>
        </w:rPr>
        <w:lastRenderedPageBreak/>
        <w:drawing>
          <wp:inline distT="0" distB="0" distL="0" distR="0" wp14:anchorId="6C345E22" wp14:editId="42A21540">
            <wp:extent cx="4752000" cy="3168000"/>
            <wp:effectExtent l="0" t="0" r="0" b="0"/>
            <wp:docPr id="7" name="Grafik 7" descr="K:\DESDN\mbd\PR\Public_Relations\Presse_2019\BITZER_SDN\WRD_2019\PI\BITZER_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DESDN\mbd\PR\Public_Relations\Presse_2019\BITZER_SDN\WRD_2019\PI\BITZER_0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52000" cy="3168000"/>
                    </a:xfrm>
                    <a:prstGeom prst="rect">
                      <a:avLst/>
                    </a:prstGeom>
                    <a:noFill/>
                    <a:ln>
                      <a:noFill/>
                    </a:ln>
                  </pic:spPr>
                </pic:pic>
              </a:graphicData>
            </a:graphic>
          </wp:inline>
        </w:drawing>
      </w:r>
    </w:p>
    <w:p w14:paraId="178E8C2A" w14:textId="10EE5C6A" w:rsidR="00254403" w:rsidRDefault="00D91FD5" w:rsidP="0052553E">
      <w:pPr>
        <w:spacing w:line="360" w:lineRule="auto"/>
        <w:rPr>
          <w:rFonts w:ascii="Tahoma" w:hAnsi="Tahoma" w:cs="Tahoma"/>
          <w:sz w:val="22"/>
          <w:szCs w:val="22"/>
        </w:rPr>
      </w:pPr>
      <w:r>
        <w:rPr>
          <w:rFonts w:ascii="Tahoma" w:hAnsi="Tahoma"/>
          <w:sz w:val="22"/>
          <w:szCs w:val="22"/>
        </w:rPr>
        <w:t>Image 2: Refrigeration and air conditioning technology usually remains hidden – World Refrigeration Day aims to make it more visible</w:t>
      </w:r>
    </w:p>
    <w:p w14:paraId="41183773" w14:textId="77777777" w:rsidR="00D91FD5" w:rsidRPr="004D3073" w:rsidRDefault="00D91FD5" w:rsidP="0052553E">
      <w:pPr>
        <w:spacing w:line="360" w:lineRule="auto"/>
        <w:rPr>
          <w:rFonts w:ascii="Tahoma" w:hAnsi="Tahoma" w:cs="Tahoma"/>
          <w:sz w:val="22"/>
          <w:szCs w:val="22"/>
        </w:rPr>
      </w:pPr>
    </w:p>
    <w:p w14:paraId="745E60B5" w14:textId="31AAFC04" w:rsidR="00254403" w:rsidRDefault="00254403" w:rsidP="0052553E">
      <w:pPr>
        <w:spacing w:line="360" w:lineRule="auto"/>
        <w:rPr>
          <w:rFonts w:ascii="Tahoma" w:hAnsi="Tahoma" w:cs="Tahoma"/>
          <w:sz w:val="22"/>
          <w:szCs w:val="22"/>
        </w:rPr>
      </w:pPr>
      <w:r>
        <w:rPr>
          <w:rFonts w:ascii="Tahoma" w:hAnsi="Tahoma"/>
          <w:noProof/>
          <w:sz w:val="22"/>
          <w:szCs w:val="22"/>
          <w:lang w:val="de-DE" w:eastAsia="zh-CN" w:bidi="ar-SA"/>
        </w:rPr>
        <w:drawing>
          <wp:inline distT="0" distB="0" distL="0" distR="0" wp14:anchorId="68E0C5E6" wp14:editId="5454D91B">
            <wp:extent cx="4211942" cy="2804400"/>
            <wp:effectExtent l="0" t="0" r="0" b="0"/>
            <wp:docPr id="4" name="Grafik 4" descr="K:\DESDN\mbd\PR\Public_Relations\Presse_2019\BITZER_SDN\WRD_2019\PI\BITZER_Koop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DESDN\mbd\PR\Public_Relations\Presse_2019\BITZER_SDN\WRD_2019\PI\BITZER_Koops.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11942" cy="2804400"/>
                    </a:xfrm>
                    <a:prstGeom prst="rect">
                      <a:avLst/>
                    </a:prstGeom>
                    <a:noFill/>
                    <a:ln>
                      <a:noFill/>
                    </a:ln>
                  </pic:spPr>
                </pic:pic>
              </a:graphicData>
            </a:graphic>
          </wp:inline>
        </w:drawing>
      </w:r>
    </w:p>
    <w:p w14:paraId="3B8D4D21" w14:textId="1EECADE1" w:rsidR="00254403" w:rsidRDefault="00254403" w:rsidP="0052553E">
      <w:pPr>
        <w:spacing w:line="360" w:lineRule="auto"/>
        <w:rPr>
          <w:rFonts w:ascii="Tahoma" w:hAnsi="Tahoma"/>
          <w:sz w:val="20"/>
        </w:rPr>
      </w:pPr>
      <w:r>
        <w:rPr>
          <w:rFonts w:ascii="Tahoma" w:hAnsi="Tahoma"/>
          <w:sz w:val="22"/>
          <w:szCs w:val="22"/>
        </w:rPr>
        <w:t>Image 3: Patrick Koops, Head of Public Relations at BITZER</w:t>
      </w:r>
    </w:p>
    <w:sectPr w:rsidR="00254403" w:rsidSect="00791ABF">
      <w:headerReference w:type="default" r:id="rId13"/>
      <w:pgSz w:w="11906" w:h="16838"/>
      <w:pgMar w:top="680" w:right="567" w:bottom="567" w:left="1304" w:header="85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03CFE0" w14:textId="77777777" w:rsidR="005249B2" w:rsidRDefault="005249B2" w:rsidP="00791ABF">
      <w:r>
        <w:separator/>
      </w:r>
    </w:p>
  </w:endnote>
  <w:endnote w:type="continuationSeparator" w:id="0">
    <w:p w14:paraId="048F7D16" w14:textId="77777777" w:rsidR="005249B2" w:rsidRDefault="005249B2" w:rsidP="00791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AFDiwa">
    <w:altName w:val="AFDiwa"/>
    <w:panose1 w:val="02000503050000020004"/>
    <w:charset w:val="00"/>
    <w:family w:val="moder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F264FB" w14:textId="77777777" w:rsidR="005249B2" w:rsidRDefault="005249B2" w:rsidP="00791ABF">
      <w:r>
        <w:separator/>
      </w:r>
    </w:p>
  </w:footnote>
  <w:footnote w:type="continuationSeparator" w:id="0">
    <w:p w14:paraId="1BB559E3" w14:textId="77777777" w:rsidR="005249B2" w:rsidRDefault="005249B2" w:rsidP="00791A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2673F" w14:textId="02D5335C" w:rsidR="005249B2" w:rsidRDefault="005249B2" w:rsidP="00791ABF">
    <w:pPr>
      <w:pStyle w:val="Kopfzeile"/>
      <w:tabs>
        <w:tab w:val="left" w:pos="2377"/>
        <w:tab w:val="right" w:pos="10036"/>
      </w:tabs>
      <w:rPr>
        <w:rFonts w:ascii="Tahoma" w:hAnsi="Tahoma"/>
        <w:b/>
        <w:sz w:val="40"/>
      </w:rPr>
    </w:pPr>
    <w:r>
      <w:rPr>
        <w:rFonts w:ascii="Tahoma" w:hAnsi="Tahoma"/>
        <w:b/>
        <w:noProof/>
        <w:sz w:val="40"/>
        <w:szCs w:val="40"/>
        <w:lang w:val="de-DE" w:eastAsia="zh-CN" w:bidi="ar-SA"/>
      </w:rPr>
      <w:drawing>
        <wp:anchor distT="0" distB="0" distL="114300" distR="114300" simplePos="0" relativeHeight="251659264" behindDoc="0" locked="0" layoutInCell="1" allowOverlap="1" wp14:anchorId="505568D4" wp14:editId="77A35C23">
          <wp:simplePos x="0" y="0"/>
          <wp:positionH relativeFrom="column">
            <wp:posOffset>4054511</wp:posOffset>
          </wp:positionH>
          <wp:positionV relativeFrom="paragraph">
            <wp:posOffset>-169449</wp:posOffset>
          </wp:positionV>
          <wp:extent cx="2318445" cy="647700"/>
          <wp:effectExtent l="0" t="0" r="571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r="9850"/>
                  <a:stretch/>
                </pic:blipFill>
                <pic:spPr bwMode="auto">
                  <a:xfrm>
                    <a:off x="0" y="0"/>
                    <a:ext cx="2318445" cy="647700"/>
                  </a:xfrm>
                  <a:prstGeom prst="rect">
                    <a:avLst/>
                  </a:prstGeom>
                  <a:ln>
                    <a:noFill/>
                  </a:ln>
                  <a:extLst>
                    <a:ext uri="{53640926-AAD7-44D8-BBD7-CCE9431645EC}">
                      <a14:shadowObscured xmlns:a14="http://schemas.microsoft.com/office/drawing/2010/main"/>
                    </a:ext>
                  </a:extLst>
                </pic:spPr>
              </pic:pic>
            </a:graphicData>
          </a:graphic>
        </wp:anchor>
      </w:drawing>
    </w:r>
    <w:r>
      <w:rPr>
        <w:rFonts w:ascii="Tahoma" w:hAnsi="Tahoma"/>
        <w:b/>
        <w:sz w:val="40"/>
      </w:rPr>
      <w:t xml:space="preserve">Press </w:t>
    </w:r>
    <w:r w:rsidR="0081387D">
      <w:rPr>
        <w:rFonts w:ascii="Tahoma" w:hAnsi="Tahoma"/>
        <w:b/>
        <w:sz w:val="40"/>
      </w:rPr>
      <w:t>information</w:t>
    </w:r>
  </w:p>
  <w:p w14:paraId="3FCCE3D7" w14:textId="77777777" w:rsidR="005249B2" w:rsidRPr="00791ABF" w:rsidRDefault="005249B2" w:rsidP="00791ABF">
    <w:pPr>
      <w:pStyle w:val="Kopfzeile"/>
      <w:tabs>
        <w:tab w:val="left" w:pos="2377"/>
        <w:tab w:val="right" w:pos="10036"/>
      </w:tabs>
      <w:rPr>
        <w:rFonts w:ascii="Tahoma" w:hAnsi="Tahoma" w:cs="Tahoma"/>
        <w:b/>
        <w:sz w:val="40"/>
        <w:szCs w:val="4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0A45AB"/>
    <w:multiLevelType w:val="hybridMultilevel"/>
    <w:tmpl w:val="04F68E1C"/>
    <w:lvl w:ilvl="0" w:tplc="8662BF06">
      <w:numFmt w:val="bullet"/>
      <w:lvlText w:val="-"/>
      <w:lvlJc w:val="left"/>
      <w:pPr>
        <w:ind w:left="720" w:hanging="360"/>
      </w:pPr>
      <w:rPr>
        <w:rFonts w:ascii="Tahoma" w:eastAsia="MS Mincho" w:hAnsi="Tahoma"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DFD58CC"/>
    <w:multiLevelType w:val="hybridMultilevel"/>
    <w:tmpl w:val="8D8E07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4300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ABF"/>
    <w:rsid w:val="00001D14"/>
    <w:rsid w:val="0000546F"/>
    <w:rsid w:val="000149F7"/>
    <w:rsid w:val="00015BB8"/>
    <w:rsid w:val="00027FC2"/>
    <w:rsid w:val="00045FD6"/>
    <w:rsid w:val="00053BBC"/>
    <w:rsid w:val="00065FD9"/>
    <w:rsid w:val="00072362"/>
    <w:rsid w:val="00082B2E"/>
    <w:rsid w:val="00090B50"/>
    <w:rsid w:val="000A1B42"/>
    <w:rsid w:val="000B1768"/>
    <w:rsid w:val="000B7298"/>
    <w:rsid w:val="000C656B"/>
    <w:rsid w:val="000E57D1"/>
    <w:rsid w:val="000F1314"/>
    <w:rsid w:val="0011461A"/>
    <w:rsid w:val="00135BD0"/>
    <w:rsid w:val="001409F8"/>
    <w:rsid w:val="00155BAC"/>
    <w:rsid w:val="001B0851"/>
    <w:rsid w:val="001B2FAB"/>
    <w:rsid w:val="001C2EF1"/>
    <w:rsid w:val="001D23A2"/>
    <w:rsid w:val="001D26B3"/>
    <w:rsid w:val="001E64AD"/>
    <w:rsid w:val="001E7A58"/>
    <w:rsid w:val="001F4D01"/>
    <w:rsid w:val="0020167F"/>
    <w:rsid w:val="00230415"/>
    <w:rsid w:val="002328A5"/>
    <w:rsid w:val="00254403"/>
    <w:rsid w:val="00267312"/>
    <w:rsid w:val="002A1ACE"/>
    <w:rsid w:val="002A43C9"/>
    <w:rsid w:val="002A5983"/>
    <w:rsid w:val="002B55D7"/>
    <w:rsid w:val="002B744D"/>
    <w:rsid w:val="002D2891"/>
    <w:rsid w:val="002E512C"/>
    <w:rsid w:val="00304F6B"/>
    <w:rsid w:val="003056B3"/>
    <w:rsid w:val="00307BCC"/>
    <w:rsid w:val="003265AD"/>
    <w:rsid w:val="003408E7"/>
    <w:rsid w:val="00352AA8"/>
    <w:rsid w:val="00353652"/>
    <w:rsid w:val="00356ED5"/>
    <w:rsid w:val="00357775"/>
    <w:rsid w:val="00384D48"/>
    <w:rsid w:val="00386FE2"/>
    <w:rsid w:val="00392425"/>
    <w:rsid w:val="003D0DBF"/>
    <w:rsid w:val="003D2B60"/>
    <w:rsid w:val="004039A3"/>
    <w:rsid w:val="00406BEC"/>
    <w:rsid w:val="00425AA2"/>
    <w:rsid w:val="00426DF7"/>
    <w:rsid w:val="00432C49"/>
    <w:rsid w:val="00460CA4"/>
    <w:rsid w:val="00481422"/>
    <w:rsid w:val="004919C4"/>
    <w:rsid w:val="00496F00"/>
    <w:rsid w:val="004A7733"/>
    <w:rsid w:val="004B35A0"/>
    <w:rsid w:val="004D3073"/>
    <w:rsid w:val="004D7B1C"/>
    <w:rsid w:val="004E0E41"/>
    <w:rsid w:val="004E766F"/>
    <w:rsid w:val="00517FA9"/>
    <w:rsid w:val="005249B2"/>
    <w:rsid w:val="0052553E"/>
    <w:rsid w:val="005338A5"/>
    <w:rsid w:val="005833D4"/>
    <w:rsid w:val="00584376"/>
    <w:rsid w:val="00584CEE"/>
    <w:rsid w:val="005970C5"/>
    <w:rsid w:val="005A0F5F"/>
    <w:rsid w:val="005B03DE"/>
    <w:rsid w:val="005B1090"/>
    <w:rsid w:val="005D0391"/>
    <w:rsid w:val="005E50E1"/>
    <w:rsid w:val="00601FA0"/>
    <w:rsid w:val="00645475"/>
    <w:rsid w:val="00647F11"/>
    <w:rsid w:val="006632C3"/>
    <w:rsid w:val="006673EA"/>
    <w:rsid w:val="00676832"/>
    <w:rsid w:val="00685A1E"/>
    <w:rsid w:val="006B6B34"/>
    <w:rsid w:val="006E35D7"/>
    <w:rsid w:val="006E523A"/>
    <w:rsid w:val="006F4D14"/>
    <w:rsid w:val="006F7A28"/>
    <w:rsid w:val="00707FD6"/>
    <w:rsid w:val="00716E9B"/>
    <w:rsid w:val="00731873"/>
    <w:rsid w:val="0073303B"/>
    <w:rsid w:val="007362CD"/>
    <w:rsid w:val="00741A76"/>
    <w:rsid w:val="00753980"/>
    <w:rsid w:val="0075697C"/>
    <w:rsid w:val="00760CBD"/>
    <w:rsid w:val="00765D16"/>
    <w:rsid w:val="00785C3B"/>
    <w:rsid w:val="00791ABF"/>
    <w:rsid w:val="007920BC"/>
    <w:rsid w:val="007A2485"/>
    <w:rsid w:val="007A7A12"/>
    <w:rsid w:val="007B5879"/>
    <w:rsid w:val="007B6822"/>
    <w:rsid w:val="007C63AE"/>
    <w:rsid w:val="007C7755"/>
    <w:rsid w:val="007D74FE"/>
    <w:rsid w:val="007E3BCA"/>
    <w:rsid w:val="007F6AF2"/>
    <w:rsid w:val="0081387D"/>
    <w:rsid w:val="008230B3"/>
    <w:rsid w:val="008310AA"/>
    <w:rsid w:val="008319D9"/>
    <w:rsid w:val="00853CE0"/>
    <w:rsid w:val="00891203"/>
    <w:rsid w:val="008B7CD3"/>
    <w:rsid w:val="008C46EF"/>
    <w:rsid w:val="008C5602"/>
    <w:rsid w:val="008E12B7"/>
    <w:rsid w:val="008E159B"/>
    <w:rsid w:val="008F6997"/>
    <w:rsid w:val="0091532F"/>
    <w:rsid w:val="00915532"/>
    <w:rsid w:val="00940B84"/>
    <w:rsid w:val="00947D44"/>
    <w:rsid w:val="00967FF0"/>
    <w:rsid w:val="0097090C"/>
    <w:rsid w:val="00973169"/>
    <w:rsid w:val="009767D7"/>
    <w:rsid w:val="009A463D"/>
    <w:rsid w:val="009C0EF6"/>
    <w:rsid w:val="009D2A86"/>
    <w:rsid w:val="009D49E0"/>
    <w:rsid w:val="009E4DBB"/>
    <w:rsid w:val="009F5B32"/>
    <w:rsid w:val="00A03FAE"/>
    <w:rsid w:val="00A05854"/>
    <w:rsid w:val="00A80137"/>
    <w:rsid w:val="00A82BD2"/>
    <w:rsid w:val="00A86335"/>
    <w:rsid w:val="00A954EB"/>
    <w:rsid w:val="00A977F5"/>
    <w:rsid w:val="00AA640E"/>
    <w:rsid w:val="00AA6BF3"/>
    <w:rsid w:val="00AB2EB6"/>
    <w:rsid w:val="00AB5313"/>
    <w:rsid w:val="00AC0159"/>
    <w:rsid w:val="00AC78A9"/>
    <w:rsid w:val="00AE0BD0"/>
    <w:rsid w:val="00B30AA4"/>
    <w:rsid w:val="00B40195"/>
    <w:rsid w:val="00B66EE3"/>
    <w:rsid w:val="00B719E9"/>
    <w:rsid w:val="00B92AE8"/>
    <w:rsid w:val="00BA6065"/>
    <w:rsid w:val="00BA6100"/>
    <w:rsid w:val="00BB3F31"/>
    <w:rsid w:val="00BD0BA2"/>
    <w:rsid w:val="00BD57B8"/>
    <w:rsid w:val="00C00138"/>
    <w:rsid w:val="00C04A6A"/>
    <w:rsid w:val="00C11EC2"/>
    <w:rsid w:val="00C17632"/>
    <w:rsid w:val="00C33CB9"/>
    <w:rsid w:val="00C42733"/>
    <w:rsid w:val="00C5277F"/>
    <w:rsid w:val="00C618B0"/>
    <w:rsid w:val="00C67CB3"/>
    <w:rsid w:val="00C72A8B"/>
    <w:rsid w:val="00C86332"/>
    <w:rsid w:val="00C922A3"/>
    <w:rsid w:val="00C97BD4"/>
    <w:rsid w:val="00CA444C"/>
    <w:rsid w:val="00CA7D29"/>
    <w:rsid w:val="00CB44C6"/>
    <w:rsid w:val="00CE7D52"/>
    <w:rsid w:val="00CF0E81"/>
    <w:rsid w:val="00CF78E2"/>
    <w:rsid w:val="00D33BD0"/>
    <w:rsid w:val="00D358CF"/>
    <w:rsid w:val="00D423AF"/>
    <w:rsid w:val="00D77E1D"/>
    <w:rsid w:val="00D91FD5"/>
    <w:rsid w:val="00DF0F35"/>
    <w:rsid w:val="00DF3487"/>
    <w:rsid w:val="00DF35FE"/>
    <w:rsid w:val="00E011A1"/>
    <w:rsid w:val="00E06017"/>
    <w:rsid w:val="00E11A59"/>
    <w:rsid w:val="00E260F9"/>
    <w:rsid w:val="00E272F6"/>
    <w:rsid w:val="00E3037A"/>
    <w:rsid w:val="00E40DBD"/>
    <w:rsid w:val="00E55C4E"/>
    <w:rsid w:val="00E71FE9"/>
    <w:rsid w:val="00E77659"/>
    <w:rsid w:val="00E95997"/>
    <w:rsid w:val="00EA7136"/>
    <w:rsid w:val="00EB1FB4"/>
    <w:rsid w:val="00EC5E84"/>
    <w:rsid w:val="00EE4192"/>
    <w:rsid w:val="00EE55EE"/>
    <w:rsid w:val="00EF2078"/>
    <w:rsid w:val="00EF6D32"/>
    <w:rsid w:val="00EF733C"/>
    <w:rsid w:val="00F01E40"/>
    <w:rsid w:val="00F27404"/>
    <w:rsid w:val="00F46FCB"/>
    <w:rsid w:val="00F52DCA"/>
    <w:rsid w:val="00F60CE3"/>
    <w:rsid w:val="00F76C61"/>
    <w:rsid w:val="00FA546B"/>
    <w:rsid w:val="00FC6CC2"/>
    <w:rsid w:val="00FD16B2"/>
    <w:rsid w:val="00FD1BA5"/>
    <w:rsid w:val="00FE12C7"/>
    <w:rsid w:val="00FE20F4"/>
    <w:rsid w:val="00FE702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52A73C52"/>
  <w15:chartTrackingRefBased/>
  <w15:docId w15:val="{9AB9F845-0AA6-4FA3-92FB-36614915B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04F6B"/>
    <w:pPr>
      <w:spacing w:after="0" w:line="240" w:lineRule="auto"/>
    </w:pPr>
    <w:rPr>
      <w:rFonts w:ascii="Times New Roman" w:eastAsia="MS Mincho" w:hAnsi="Times New Roman" w:cs="Times New Roman"/>
      <w:sz w:val="24"/>
      <w:szCs w:val="24"/>
      <w:lang w:eastAsia="en-GB" w:bidi="en-GB"/>
    </w:rPr>
  </w:style>
  <w:style w:type="paragraph" w:styleId="berschrift1">
    <w:name w:val="heading 1"/>
    <w:basedOn w:val="Standard"/>
    <w:link w:val="berschrift1Zchn"/>
    <w:uiPriority w:val="9"/>
    <w:qFormat/>
    <w:rsid w:val="00685A1E"/>
    <w:pPr>
      <w:outlineLvl w:val="0"/>
    </w:pPr>
    <w:rPr>
      <w:rFonts w:ascii="Helvetica" w:eastAsia="Times New Roman" w:hAnsi="Helvetica" w:cs="Helvetica"/>
      <w:kern w:val="36"/>
      <w:sz w:val="48"/>
      <w:szCs w:val="48"/>
      <w:lang w:eastAsia="zh-CN"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91ABF"/>
    <w:pPr>
      <w:tabs>
        <w:tab w:val="center" w:pos="4536"/>
        <w:tab w:val="right" w:pos="9072"/>
      </w:tabs>
    </w:pPr>
  </w:style>
  <w:style w:type="character" w:customStyle="1" w:styleId="KopfzeileZchn">
    <w:name w:val="Kopfzeile Zchn"/>
    <w:basedOn w:val="Absatz-Standardschriftart"/>
    <w:link w:val="Kopfzeile"/>
    <w:uiPriority w:val="99"/>
    <w:rsid w:val="00791ABF"/>
  </w:style>
  <w:style w:type="paragraph" w:styleId="Fuzeile">
    <w:name w:val="footer"/>
    <w:basedOn w:val="Standard"/>
    <w:link w:val="FuzeileZchn"/>
    <w:uiPriority w:val="99"/>
    <w:unhideWhenUsed/>
    <w:rsid w:val="00791ABF"/>
    <w:pPr>
      <w:tabs>
        <w:tab w:val="center" w:pos="4536"/>
        <w:tab w:val="right" w:pos="9072"/>
      </w:tabs>
    </w:pPr>
  </w:style>
  <w:style w:type="character" w:customStyle="1" w:styleId="FuzeileZchn">
    <w:name w:val="Fußzeile Zchn"/>
    <w:basedOn w:val="Absatz-Standardschriftart"/>
    <w:link w:val="Fuzeile"/>
    <w:uiPriority w:val="99"/>
    <w:rsid w:val="00791ABF"/>
  </w:style>
  <w:style w:type="paragraph" w:styleId="Listenabsatz">
    <w:name w:val="List Paragraph"/>
    <w:basedOn w:val="Standard"/>
    <w:uiPriority w:val="34"/>
    <w:qFormat/>
    <w:rsid w:val="00304F6B"/>
    <w:pPr>
      <w:spacing w:after="200" w:line="276" w:lineRule="auto"/>
      <w:ind w:left="720"/>
      <w:contextualSpacing/>
    </w:pPr>
    <w:rPr>
      <w:rFonts w:asciiTheme="minorHAnsi" w:eastAsiaTheme="minorHAnsi" w:hAnsiTheme="minorHAnsi" w:cstheme="minorBidi"/>
      <w:sz w:val="22"/>
      <w:szCs w:val="22"/>
      <w:lang w:eastAsia="de-DE" w:bidi="de-DE"/>
    </w:rPr>
  </w:style>
  <w:style w:type="character" w:styleId="Kommentarzeichen">
    <w:name w:val="annotation reference"/>
    <w:uiPriority w:val="99"/>
    <w:semiHidden/>
    <w:unhideWhenUsed/>
    <w:rsid w:val="00304F6B"/>
    <w:rPr>
      <w:sz w:val="16"/>
      <w:szCs w:val="16"/>
    </w:rPr>
  </w:style>
  <w:style w:type="paragraph" w:styleId="Kommentartext">
    <w:name w:val="annotation text"/>
    <w:link w:val="KommentartextZchn"/>
    <w:uiPriority w:val="99"/>
    <w:semiHidden/>
    <w:unhideWhenUsed/>
    <w:rsid w:val="00304F6B"/>
    <w:pPr>
      <w:spacing w:after="0" w:line="240" w:lineRule="auto"/>
    </w:pPr>
    <w:rPr>
      <w:rFonts w:ascii="Times New Roman" w:eastAsia="MS Mincho" w:hAnsi="Times New Roman" w:cs="Times New Roman"/>
      <w:sz w:val="20"/>
      <w:szCs w:val="20"/>
      <w:lang w:eastAsia="de-DE" w:bidi="de-DE"/>
    </w:rPr>
  </w:style>
  <w:style w:type="character" w:customStyle="1" w:styleId="KommentartextZchn">
    <w:name w:val="Kommentartext Zchn"/>
    <w:basedOn w:val="Absatz-Standardschriftart"/>
    <w:link w:val="Kommentartext"/>
    <w:uiPriority w:val="99"/>
    <w:semiHidden/>
    <w:rsid w:val="00304F6B"/>
    <w:rPr>
      <w:rFonts w:ascii="Times New Roman" w:eastAsia="MS Mincho" w:hAnsi="Times New Roman" w:cs="Times New Roman"/>
      <w:sz w:val="20"/>
      <w:szCs w:val="20"/>
      <w:lang w:eastAsia="de-DE" w:bidi="de-DE"/>
    </w:rPr>
  </w:style>
  <w:style w:type="paragraph" w:styleId="Sprechblasentext">
    <w:name w:val="Balloon Text"/>
    <w:basedOn w:val="Standard"/>
    <w:link w:val="SprechblasentextZchn"/>
    <w:uiPriority w:val="99"/>
    <w:semiHidden/>
    <w:unhideWhenUsed/>
    <w:rsid w:val="009A463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A463D"/>
    <w:rPr>
      <w:rFonts w:ascii="Segoe UI" w:eastAsia="MS Mincho" w:hAnsi="Segoe UI" w:cs="Segoe UI"/>
      <w:sz w:val="18"/>
      <w:szCs w:val="18"/>
      <w:lang w:val="en-GB" w:eastAsia="en-GB" w:bidi="en-GB"/>
    </w:rPr>
  </w:style>
  <w:style w:type="paragraph" w:styleId="Kommentarthema">
    <w:name w:val="annotation subject"/>
    <w:basedOn w:val="Kommentartext"/>
    <w:next w:val="Kommentartext"/>
    <w:link w:val="KommentarthemaZchn"/>
    <w:uiPriority w:val="99"/>
    <w:semiHidden/>
    <w:unhideWhenUsed/>
    <w:rsid w:val="004E766F"/>
    <w:rPr>
      <w:b/>
      <w:bCs/>
      <w:lang w:eastAsia="en-GB" w:bidi="en-GB"/>
    </w:rPr>
  </w:style>
  <w:style w:type="character" w:customStyle="1" w:styleId="KommentarthemaZchn">
    <w:name w:val="Kommentarthema Zchn"/>
    <w:basedOn w:val="KommentartextZchn"/>
    <w:link w:val="Kommentarthema"/>
    <w:uiPriority w:val="99"/>
    <w:semiHidden/>
    <w:rsid w:val="004E766F"/>
    <w:rPr>
      <w:rFonts w:ascii="Times New Roman" w:eastAsia="MS Mincho" w:hAnsi="Times New Roman" w:cs="Times New Roman"/>
      <w:b/>
      <w:bCs/>
      <w:sz w:val="20"/>
      <w:szCs w:val="20"/>
      <w:lang w:val="en-GB" w:eastAsia="en-GB" w:bidi="en-GB"/>
    </w:rPr>
  </w:style>
  <w:style w:type="paragraph" w:styleId="StandardWeb">
    <w:name w:val="Normal (Web)"/>
    <w:basedOn w:val="Standard"/>
    <w:uiPriority w:val="99"/>
    <w:semiHidden/>
    <w:unhideWhenUsed/>
    <w:rsid w:val="00785C3B"/>
    <w:rPr>
      <w:rFonts w:eastAsia="Times New Roman"/>
      <w:lang w:eastAsia="zh-CN" w:bidi="ar-SA"/>
    </w:rPr>
  </w:style>
  <w:style w:type="character" w:customStyle="1" w:styleId="berschrift1Zchn">
    <w:name w:val="Überschrift 1 Zchn"/>
    <w:basedOn w:val="Absatz-Standardschriftart"/>
    <w:link w:val="berschrift1"/>
    <w:uiPriority w:val="9"/>
    <w:rsid w:val="00685A1E"/>
    <w:rPr>
      <w:rFonts w:ascii="Helvetica" w:eastAsia="Times New Roman" w:hAnsi="Helvetica" w:cs="Helvetica"/>
      <w:kern w:val="36"/>
      <w:sz w:val="48"/>
      <w:szCs w:val="48"/>
    </w:rPr>
  </w:style>
  <w:style w:type="paragraph" w:customStyle="1" w:styleId="Default">
    <w:name w:val="Default"/>
    <w:rsid w:val="00AA640E"/>
    <w:pPr>
      <w:autoSpaceDE w:val="0"/>
      <w:autoSpaceDN w:val="0"/>
      <w:adjustRightInd w:val="0"/>
      <w:spacing w:after="0" w:line="240" w:lineRule="auto"/>
    </w:pPr>
    <w:rPr>
      <w:rFonts w:ascii="AFDiwa" w:eastAsiaTheme="minorHAnsi" w:hAnsi="AFDiwa" w:cs="AFDiwa"/>
      <w:color w:val="000000"/>
      <w:sz w:val="24"/>
      <w:szCs w:val="24"/>
      <w:lang w:eastAsia="en-GB" w:bidi="en-GB"/>
    </w:rPr>
  </w:style>
  <w:style w:type="character" w:styleId="Hyperlink">
    <w:name w:val="Hyperlink"/>
    <w:basedOn w:val="Absatz-Standardschriftart"/>
    <w:uiPriority w:val="99"/>
    <w:unhideWhenUsed/>
    <w:rsid w:val="00307BCC"/>
    <w:rPr>
      <w:color w:val="0563C1" w:themeColor="hyperlink"/>
      <w:u w:val="single"/>
    </w:rPr>
  </w:style>
  <w:style w:type="character" w:customStyle="1" w:styleId="UnresolvedMention">
    <w:name w:val="Unresolved Mention"/>
    <w:basedOn w:val="Absatz-Standardschriftart"/>
    <w:uiPriority w:val="99"/>
    <w:semiHidden/>
    <w:unhideWhenUsed/>
    <w:rsid w:val="00307BCC"/>
    <w:rPr>
      <w:color w:val="605E5C"/>
      <w:shd w:val="clear" w:color="auto" w:fill="E1DFDD"/>
    </w:rPr>
  </w:style>
  <w:style w:type="character" w:styleId="BesuchterHyperlink">
    <w:name w:val="FollowedHyperlink"/>
    <w:basedOn w:val="Absatz-Standardschriftart"/>
    <w:uiPriority w:val="99"/>
    <w:semiHidden/>
    <w:unhideWhenUsed/>
    <w:rsid w:val="004039A3"/>
    <w:rPr>
      <w:color w:val="954F72" w:themeColor="followedHyperlink"/>
      <w:u w:val="single"/>
    </w:rPr>
  </w:style>
  <w:style w:type="paragraph" w:styleId="berarbeitung">
    <w:name w:val="Revision"/>
    <w:hidden/>
    <w:uiPriority w:val="99"/>
    <w:semiHidden/>
    <w:rsid w:val="005249B2"/>
    <w:pPr>
      <w:spacing w:after="0" w:line="240" w:lineRule="auto"/>
    </w:pPr>
    <w:rPr>
      <w:rFonts w:ascii="Times New Roman" w:eastAsia="MS Mincho" w:hAnsi="Times New Roman" w:cs="Times New Roman"/>
      <w:sz w:val="24"/>
      <w:szCs w:val="24"/>
      <w:lang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492860">
      <w:bodyDiv w:val="1"/>
      <w:marLeft w:val="0"/>
      <w:marRight w:val="0"/>
      <w:marTop w:val="0"/>
      <w:marBottom w:val="0"/>
      <w:divBdr>
        <w:top w:val="none" w:sz="0" w:space="0" w:color="auto"/>
        <w:left w:val="none" w:sz="0" w:space="0" w:color="auto"/>
        <w:bottom w:val="none" w:sz="0" w:space="0" w:color="auto"/>
        <w:right w:val="none" w:sz="0" w:space="0" w:color="auto"/>
      </w:divBdr>
      <w:divsChild>
        <w:div w:id="707607233">
          <w:marLeft w:val="0"/>
          <w:marRight w:val="0"/>
          <w:marTop w:val="0"/>
          <w:marBottom w:val="0"/>
          <w:divBdr>
            <w:top w:val="none" w:sz="0" w:space="0" w:color="auto"/>
            <w:left w:val="none" w:sz="0" w:space="0" w:color="auto"/>
            <w:bottom w:val="none" w:sz="0" w:space="0" w:color="auto"/>
            <w:right w:val="none" w:sz="0" w:space="0" w:color="auto"/>
          </w:divBdr>
          <w:divsChild>
            <w:div w:id="1223325719">
              <w:marLeft w:val="0"/>
              <w:marRight w:val="0"/>
              <w:marTop w:val="0"/>
              <w:marBottom w:val="0"/>
              <w:divBdr>
                <w:top w:val="none" w:sz="0" w:space="0" w:color="auto"/>
                <w:left w:val="none" w:sz="0" w:space="0" w:color="auto"/>
                <w:bottom w:val="none" w:sz="0" w:space="0" w:color="auto"/>
                <w:right w:val="none" w:sz="0" w:space="0" w:color="auto"/>
              </w:divBdr>
              <w:divsChild>
                <w:div w:id="731271285">
                  <w:marLeft w:val="0"/>
                  <w:marRight w:val="0"/>
                  <w:marTop w:val="0"/>
                  <w:marBottom w:val="0"/>
                  <w:divBdr>
                    <w:top w:val="none" w:sz="0" w:space="0" w:color="auto"/>
                    <w:left w:val="none" w:sz="0" w:space="0" w:color="auto"/>
                    <w:bottom w:val="none" w:sz="0" w:space="0" w:color="auto"/>
                    <w:right w:val="none" w:sz="0" w:space="0" w:color="auto"/>
                  </w:divBdr>
                  <w:divsChild>
                    <w:div w:id="1595938185">
                      <w:marLeft w:val="0"/>
                      <w:marRight w:val="0"/>
                      <w:marTop w:val="0"/>
                      <w:marBottom w:val="0"/>
                      <w:divBdr>
                        <w:top w:val="none" w:sz="0" w:space="0" w:color="auto"/>
                        <w:left w:val="none" w:sz="0" w:space="0" w:color="auto"/>
                        <w:bottom w:val="none" w:sz="0" w:space="0" w:color="auto"/>
                        <w:right w:val="none" w:sz="0" w:space="0" w:color="auto"/>
                      </w:divBdr>
                      <w:divsChild>
                        <w:div w:id="1706248450">
                          <w:marLeft w:val="0"/>
                          <w:marRight w:val="0"/>
                          <w:marTop w:val="0"/>
                          <w:marBottom w:val="0"/>
                          <w:divBdr>
                            <w:top w:val="none" w:sz="0" w:space="0" w:color="auto"/>
                            <w:left w:val="none" w:sz="0" w:space="0" w:color="auto"/>
                            <w:bottom w:val="none" w:sz="0" w:space="0" w:color="auto"/>
                            <w:right w:val="none" w:sz="0" w:space="0" w:color="auto"/>
                          </w:divBdr>
                          <w:divsChild>
                            <w:div w:id="678122074">
                              <w:marLeft w:val="0"/>
                              <w:marRight w:val="0"/>
                              <w:marTop w:val="0"/>
                              <w:marBottom w:val="0"/>
                              <w:divBdr>
                                <w:top w:val="none" w:sz="0" w:space="0" w:color="auto"/>
                                <w:left w:val="none" w:sz="0" w:space="0" w:color="auto"/>
                                <w:bottom w:val="none" w:sz="0" w:space="0" w:color="auto"/>
                                <w:right w:val="none" w:sz="0" w:space="0" w:color="auto"/>
                              </w:divBdr>
                              <w:divsChild>
                                <w:div w:id="1450274948">
                                  <w:marLeft w:val="0"/>
                                  <w:marRight w:val="0"/>
                                  <w:marTop w:val="0"/>
                                  <w:marBottom w:val="0"/>
                                  <w:divBdr>
                                    <w:top w:val="none" w:sz="0" w:space="0" w:color="auto"/>
                                    <w:left w:val="none" w:sz="0" w:space="0" w:color="auto"/>
                                    <w:bottom w:val="none" w:sz="0" w:space="0" w:color="auto"/>
                                    <w:right w:val="none" w:sz="0" w:space="0" w:color="auto"/>
                                  </w:divBdr>
                                  <w:divsChild>
                                    <w:div w:id="285432991">
                                      <w:marLeft w:val="0"/>
                                      <w:marRight w:val="0"/>
                                      <w:marTop w:val="0"/>
                                      <w:marBottom w:val="0"/>
                                      <w:divBdr>
                                        <w:top w:val="none" w:sz="0" w:space="0" w:color="auto"/>
                                        <w:left w:val="none" w:sz="0" w:space="0" w:color="auto"/>
                                        <w:bottom w:val="none" w:sz="0" w:space="0" w:color="auto"/>
                                        <w:right w:val="none" w:sz="0" w:space="0" w:color="auto"/>
                                      </w:divBdr>
                                      <w:divsChild>
                                        <w:div w:id="773015791">
                                          <w:marLeft w:val="0"/>
                                          <w:marRight w:val="0"/>
                                          <w:marTop w:val="0"/>
                                          <w:marBottom w:val="0"/>
                                          <w:divBdr>
                                            <w:top w:val="none" w:sz="0" w:space="0" w:color="auto"/>
                                            <w:left w:val="none" w:sz="0" w:space="0" w:color="auto"/>
                                            <w:bottom w:val="none" w:sz="0" w:space="0" w:color="auto"/>
                                            <w:right w:val="none" w:sz="0" w:space="0" w:color="auto"/>
                                          </w:divBdr>
                                          <w:divsChild>
                                            <w:div w:id="144850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9153626">
      <w:bodyDiv w:val="1"/>
      <w:marLeft w:val="0"/>
      <w:marRight w:val="0"/>
      <w:marTop w:val="0"/>
      <w:marBottom w:val="0"/>
      <w:divBdr>
        <w:top w:val="none" w:sz="0" w:space="0" w:color="auto"/>
        <w:left w:val="none" w:sz="0" w:space="0" w:color="auto"/>
        <w:bottom w:val="none" w:sz="0" w:space="0" w:color="auto"/>
        <w:right w:val="none" w:sz="0" w:space="0" w:color="auto"/>
      </w:divBdr>
    </w:div>
    <w:div w:id="933054078">
      <w:bodyDiv w:val="1"/>
      <w:marLeft w:val="0"/>
      <w:marRight w:val="0"/>
      <w:marTop w:val="0"/>
      <w:marBottom w:val="0"/>
      <w:divBdr>
        <w:top w:val="none" w:sz="0" w:space="0" w:color="auto"/>
        <w:left w:val="none" w:sz="0" w:space="0" w:color="auto"/>
        <w:bottom w:val="none" w:sz="0" w:space="0" w:color="auto"/>
        <w:right w:val="none" w:sz="0" w:space="0" w:color="auto"/>
      </w:divBdr>
    </w:div>
    <w:div w:id="956329737">
      <w:bodyDiv w:val="1"/>
      <w:marLeft w:val="0"/>
      <w:marRight w:val="0"/>
      <w:marTop w:val="0"/>
      <w:marBottom w:val="0"/>
      <w:divBdr>
        <w:top w:val="none" w:sz="0" w:space="0" w:color="auto"/>
        <w:left w:val="none" w:sz="0" w:space="0" w:color="auto"/>
        <w:bottom w:val="none" w:sz="0" w:space="0" w:color="auto"/>
        <w:right w:val="none" w:sz="0" w:space="0" w:color="auto"/>
      </w:divBdr>
    </w:div>
    <w:div w:id="1647196945">
      <w:bodyDiv w:val="1"/>
      <w:marLeft w:val="0"/>
      <w:marRight w:val="0"/>
      <w:marTop w:val="0"/>
      <w:marBottom w:val="0"/>
      <w:divBdr>
        <w:top w:val="none" w:sz="0" w:space="0" w:color="auto"/>
        <w:left w:val="none" w:sz="0" w:space="0" w:color="auto"/>
        <w:bottom w:val="none" w:sz="0" w:space="0" w:color="auto"/>
        <w:right w:val="none" w:sz="0" w:space="0" w:color="auto"/>
      </w:divBdr>
    </w:div>
    <w:div w:id="1748071735">
      <w:bodyDiv w:val="1"/>
      <w:marLeft w:val="0"/>
      <w:marRight w:val="0"/>
      <w:marTop w:val="0"/>
      <w:marBottom w:val="0"/>
      <w:divBdr>
        <w:top w:val="none" w:sz="0" w:space="0" w:color="auto"/>
        <w:left w:val="none" w:sz="0" w:space="0" w:color="auto"/>
        <w:bottom w:val="none" w:sz="0" w:space="0" w:color="auto"/>
        <w:right w:val="none" w:sz="0" w:space="0" w:color="auto"/>
      </w:divBdr>
      <w:divsChild>
        <w:div w:id="1332947236">
          <w:marLeft w:val="0"/>
          <w:marRight w:val="0"/>
          <w:marTop w:val="0"/>
          <w:marBottom w:val="0"/>
          <w:divBdr>
            <w:top w:val="none" w:sz="0" w:space="0" w:color="auto"/>
            <w:left w:val="none" w:sz="0" w:space="0" w:color="auto"/>
            <w:bottom w:val="none" w:sz="0" w:space="0" w:color="auto"/>
            <w:right w:val="none" w:sz="0" w:space="0" w:color="auto"/>
          </w:divBdr>
          <w:divsChild>
            <w:div w:id="407389201">
              <w:marLeft w:val="0"/>
              <w:marRight w:val="0"/>
              <w:marTop w:val="0"/>
              <w:marBottom w:val="0"/>
              <w:divBdr>
                <w:top w:val="none" w:sz="0" w:space="0" w:color="auto"/>
                <w:left w:val="none" w:sz="0" w:space="0" w:color="auto"/>
                <w:bottom w:val="none" w:sz="0" w:space="0" w:color="auto"/>
                <w:right w:val="none" w:sz="0" w:space="0" w:color="auto"/>
              </w:divBdr>
              <w:divsChild>
                <w:div w:id="1074665568">
                  <w:marLeft w:val="0"/>
                  <w:marRight w:val="0"/>
                  <w:marTop w:val="0"/>
                  <w:marBottom w:val="0"/>
                  <w:divBdr>
                    <w:top w:val="none" w:sz="0" w:space="0" w:color="auto"/>
                    <w:left w:val="none" w:sz="0" w:space="0" w:color="auto"/>
                    <w:bottom w:val="none" w:sz="0" w:space="0" w:color="auto"/>
                    <w:right w:val="none" w:sz="0" w:space="0" w:color="auto"/>
                  </w:divBdr>
                  <w:divsChild>
                    <w:div w:id="2107069331">
                      <w:marLeft w:val="0"/>
                      <w:marRight w:val="0"/>
                      <w:marTop w:val="0"/>
                      <w:marBottom w:val="0"/>
                      <w:divBdr>
                        <w:top w:val="none" w:sz="0" w:space="0" w:color="auto"/>
                        <w:left w:val="none" w:sz="0" w:space="0" w:color="auto"/>
                        <w:bottom w:val="none" w:sz="0" w:space="0" w:color="auto"/>
                        <w:right w:val="none" w:sz="0" w:space="0" w:color="auto"/>
                      </w:divBdr>
                      <w:divsChild>
                        <w:div w:id="884294657">
                          <w:marLeft w:val="0"/>
                          <w:marRight w:val="0"/>
                          <w:marTop w:val="0"/>
                          <w:marBottom w:val="0"/>
                          <w:divBdr>
                            <w:top w:val="none" w:sz="0" w:space="0" w:color="auto"/>
                            <w:left w:val="none" w:sz="0" w:space="0" w:color="auto"/>
                            <w:bottom w:val="none" w:sz="0" w:space="0" w:color="auto"/>
                            <w:right w:val="none" w:sz="0" w:space="0" w:color="auto"/>
                          </w:divBdr>
                          <w:divsChild>
                            <w:div w:id="1815875806">
                              <w:marLeft w:val="0"/>
                              <w:marRight w:val="0"/>
                              <w:marTop w:val="0"/>
                              <w:marBottom w:val="0"/>
                              <w:divBdr>
                                <w:top w:val="none" w:sz="0" w:space="0" w:color="auto"/>
                                <w:left w:val="none" w:sz="0" w:space="0" w:color="auto"/>
                                <w:bottom w:val="none" w:sz="0" w:space="0" w:color="auto"/>
                                <w:right w:val="none" w:sz="0" w:space="0" w:color="auto"/>
                              </w:divBdr>
                              <w:divsChild>
                                <w:div w:id="490683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0762551">
      <w:bodyDiv w:val="1"/>
      <w:marLeft w:val="0"/>
      <w:marRight w:val="0"/>
      <w:marTop w:val="0"/>
      <w:marBottom w:val="0"/>
      <w:divBdr>
        <w:top w:val="none" w:sz="0" w:space="0" w:color="auto"/>
        <w:left w:val="none" w:sz="0" w:space="0" w:color="auto"/>
        <w:bottom w:val="none" w:sz="0" w:space="0" w:color="auto"/>
        <w:right w:val="none" w:sz="0" w:space="0" w:color="auto"/>
      </w:divBdr>
      <w:divsChild>
        <w:div w:id="492843608">
          <w:marLeft w:val="0"/>
          <w:marRight w:val="0"/>
          <w:marTop w:val="0"/>
          <w:marBottom w:val="0"/>
          <w:divBdr>
            <w:top w:val="none" w:sz="0" w:space="0" w:color="auto"/>
            <w:left w:val="none" w:sz="0" w:space="0" w:color="auto"/>
            <w:bottom w:val="none" w:sz="0" w:space="0" w:color="auto"/>
            <w:right w:val="none" w:sz="0" w:space="0" w:color="auto"/>
          </w:divBdr>
          <w:divsChild>
            <w:div w:id="834615487">
              <w:marLeft w:val="0"/>
              <w:marRight w:val="0"/>
              <w:marTop w:val="0"/>
              <w:marBottom w:val="0"/>
              <w:divBdr>
                <w:top w:val="none" w:sz="0" w:space="0" w:color="auto"/>
                <w:left w:val="none" w:sz="0" w:space="0" w:color="auto"/>
                <w:bottom w:val="none" w:sz="0" w:space="0" w:color="auto"/>
                <w:right w:val="none" w:sz="0" w:space="0" w:color="auto"/>
              </w:divBdr>
              <w:divsChild>
                <w:div w:id="1130901855">
                  <w:marLeft w:val="0"/>
                  <w:marRight w:val="0"/>
                  <w:marTop w:val="0"/>
                  <w:marBottom w:val="0"/>
                  <w:divBdr>
                    <w:top w:val="none" w:sz="0" w:space="0" w:color="auto"/>
                    <w:left w:val="none" w:sz="0" w:space="0" w:color="auto"/>
                    <w:bottom w:val="none" w:sz="0" w:space="0" w:color="auto"/>
                    <w:right w:val="none" w:sz="0" w:space="0" w:color="auto"/>
                  </w:divBdr>
                  <w:divsChild>
                    <w:div w:id="1737050160">
                      <w:marLeft w:val="0"/>
                      <w:marRight w:val="0"/>
                      <w:marTop w:val="0"/>
                      <w:marBottom w:val="0"/>
                      <w:divBdr>
                        <w:top w:val="none" w:sz="0" w:space="0" w:color="auto"/>
                        <w:left w:val="none" w:sz="0" w:space="0" w:color="auto"/>
                        <w:bottom w:val="none" w:sz="0" w:space="0" w:color="auto"/>
                        <w:right w:val="none" w:sz="0" w:space="0" w:color="auto"/>
                      </w:divBdr>
                      <w:divsChild>
                        <w:div w:id="1058473253">
                          <w:marLeft w:val="0"/>
                          <w:marRight w:val="0"/>
                          <w:marTop w:val="0"/>
                          <w:marBottom w:val="0"/>
                          <w:divBdr>
                            <w:top w:val="none" w:sz="0" w:space="0" w:color="auto"/>
                            <w:left w:val="none" w:sz="0" w:space="0" w:color="auto"/>
                            <w:bottom w:val="none" w:sz="0" w:space="0" w:color="auto"/>
                            <w:right w:val="none" w:sz="0" w:space="0" w:color="auto"/>
                          </w:divBdr>
                          <w:divsChild>
                            <w:div w:id="48768391">
                              <w:marLeft w:val="0"/>
                              <w:marRight w:val="0"/>
                              <w:marTop w:val="0"/>
                              <w:marBottom w:val="0"/>
                              <w:divBdr>
                                <w:top w:val="none" w:sz="0" w:space="0" w:color="auto"/>
                                <w:left w:val="none" w:sz="0" w:space="0" w:color="auto"/>
                                <w:bottom w:val="none" w:sz="0" w:space="0" w:color="auto"/>
                                <w:right w:val="none" w:sz="0" w:space="0" w:color="auto"/>
                              </w:divBdr>
                              <w:divsChild>
                                <w:div w:id="1884363628">
                                  <w:marLeft w:val="0"/>
                                  <w:marRight w:val="0"/>
                                  <w:marTop w:val="0"/>
                                  <w:marBottom w:val="0"/>
                                  <w:divBdr>
                                    <w:top w:val="none" w:sz="0" w:space="0" w:color="auto"/>
                                    <w:left w:val="none" w:sz="0" w:space="0" w:color="auto"/>
                                    <w:bottom w:val="none" w:sz="0" w:space="0" w:color="auto"/>
                                    <w:right w:val="none" w:sz="0" w:space="0" w:color="auto"/>
                                  </w:divBdr>
                                  <w:divsChild>
                                    <w:div w:id="482694622">
                                      <w:marLeft w:val="0"/>
                                      <w:marRight w:val="0"/>
                                      <w:marTop w:val="0"/>
                                      <w:marBottom w:val="0"/>
                                      <w:divBdr>
                                        <w:top w:val="none" w:sz="0" w:space="0" w:color="auto"/>
                                        <w:left w:val="none" w:sz="0" w:space="0" w:color="auto"/>
                                        <w:bottom w:val="none" w:sz="0" w:space="0" w:color="auto"/>
                                        <w:right w:val="none" w:sz="0" w:space="0" w:color="auto"/>
                                      </w:divBdr>
                                      <w:divsChild>
                                        <w:div w:id="632449489">
                                          <w:marLeft w:val="0"/>
                                          <w:marRight w:val="0"/>
                                          <w:marTop w:val="0"/>
                                          <w:marBottom w:val="0"/>
                                          <w:divBdr>
                                            <w:top w:val="none" w:sz="0" w:space="0" w:color="auto"/>
                                            <w:left w:val="none" w:sz="0" w:space="0" w:color="auto"/>
                                            <w:bottom w:val="none" w:sz="0" w:space="0" w:color="auto"/>
                                            <w:right w:val="none" w:sz="0" w:space="0" w:color="auto"/>
                                          </w:divBdr>
                                          <w:divsChild>
                                            <w:div w:id="105855998">
                                              <w:marLeft w:val="-75"/>
                                              <w:marRight w:val="-75"/>
                                              <w:marTop w:val="0"/>
                                              <w:marBottom w:val="0"/>
                                              <w:divBdr>
                                                <w:top w:val="none" w:sz="0" w:space="0" w:color="auto"/>
                                                <w:left w:val="none" w:sz="0" w:space="0" w:color="auto"/>
                                                <w:bottom w:val="none" w:sz="0" w:space="0" w:color="auto"/>
                                                <w:right w:val="none" w:sz="0" w:space="0" w:color="auto"/>
                                              </w:divBdr>
                                              <w:divsChild>
                                                <w:div w:id="72433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www.worldrefrigerationday.or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A4893-A482-4A62-B0B9-BDDFE7144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ADCEC121</Template>
  <TotalTime>0</TotalTime>
  <Pages>3</Pages>
  <Words>445</Words>
  <Characters>2810</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BITZER SE</Company>
  <LinksUpToDate>false</LinksUpToDate>
  <CharactersWithSpaces>3249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Koch, Janina</dc:creator>
  <cp:keywords/>
  <dc:description/>
  <cp:lastModifiedBy>Ungar, Agnes</cp:lastModifiedBy>
  <cp:revision>11</cp:revision>
  <dcterms:created xsi:type="dcterms:W3CDTF">2019-06-18T10:54:00Z</dcterms:created>
  <dcterms:modified xsi:type="dcterms:W3CDTF">2019-06-25T08:26:00Z</dcterms:modified>
</cp:coreProperties>
</file>