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B74276" w14:textId="77777777" w:rsidR="00304F6B" w:rsidRPr="00DB5F4E" w:rsidRDefault="00304F6B" w:rsidP="00304F6B">
      <w:pPr>
        <w:rPr>
          <w:rFonts w:ascii="Tahoma" w:hAnsi="Tahoma"/>
          <w:sz w:val="22"/>
          <w:szCs w:val="22"/>
        </w:rPr>
      </w:pPr>
    </w:p>
    <w:p w14:paraId="0F7D64F7" w14:textId="7DCB2688" w:rsidR="00304F6B" w:rsidRPr="0068186D" w:rsidRDefault="00304F6B" w:rsidP="00F60CE3">
      <w:pPr>
        <w:tabs>
          <w:tab w:val="left" w:pos="5820"/>
        </w:tabs>
        <w:rPr>
          <w:rFonts w:ascii="Tahoma" w:hAnsi="Tahoma"/>
          <w:sz w:val="22"/>
          <w:szCs w:val="22"/>
        </w:rPr>
      </w:pPr>
    </w:p>
    <w:p w14:paraId="5896FEC4" w14:textId="77777777" w:rsidR="00304F6B" w:rsidRDefault="00304F6B" w:rsidP="00304F6B">
      <w:pPr>
        <w:rPr>
          <w:rFonts w:ascii="Tahoma" w:hAnsi="Tahoma" w:cs="Tahoma"/>
          <w:noProof/>
          <w:sz w:val="16"/>
          <w:szCs w:val="16"/>
          <w:lang w:val="de-DE" w:eastAsia="zh-CN" w:bidi="ar-SA"/>
        </w:rPr>
      </w:pPr>
    </w:p>
    <w:p w14:paraId="33B89765" w14:textId="77777777" w:rsidR="00304F6B" w:rsidRDefault="00304F6B" w:rsidP="00304F6B">
      <w:pPr>
        <w:rPr>
          <w:rFonts w:ascii="Tahoma" w:hAnsi="Tahoma" w:cs="Tahoma"/>
          <w:noProof/>
          <w:sz w:val="16"/>
          <w:szCs w:val="16"/>
        </w:rPr>
      </w:pPr>
      <w:r>
        <w:rPr>
          <w:rFonts w:ascii="Tahoma" w:hAnsi="Tahoma"/>
          <w:noProof/>
          <w:sz w:val="16"/>
          <w:szCs w:val="16"/>
          <w:lang w:val="de-DE" w:eastAsia="de-DE" w:bidi="ar-SA"/>
        </w:rPr>
        <w:drawing>
          <wp:anchor distT="0" distB="0" distL="114300" distR="114300" simplePos="0" relativeHeight="251659264" behindDoc="1" locked="1" layoutInCell="1" allowOverlap="1" wp14:anchorId="67699C15" wp14:editId="116524CC">
            <wp:simplePos x="0" y="0"/>
            <wp:positionH relativeFrom="column">
              <wp:posOffset>0</wp:posOffset>
            </wp:positionH>
            <wp:positionV relativeFrom="paragraph">
              <wp:posOffset>-257175</wp:posOffset>
            </wp:positionV>
            <wp:extent cx="6371590" cy="189357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6371590" cy="1893570"/>
                    </a:xfrm>
                    <a:prstGeom prst="rect">
                      <a:avLst/>
                    </a:prstGeom>
                  </pic:spPr>
                </pic:pic>
              </a:graphicData>
            </a:graphic>
            <wp14:sizeRelH relativeFrom="margin">
              <wp14:pctWidth>0</wp14:pctWidth>
            </wp14:sizeRelH>
            <wp14:sizeRelV relativeFrom="margin">
              <wp14:pctHeight>0</wp14:pctHeight>
            </wp14:sizeRelV>
          </wp:anchor>
        </w:drawing>
      </w:r>
    </w:p>
    <w:p w14:paraId="4B94D0A3" w14:textId="6B6A4B57" w:rsidR="00304F6B" w:rsidRDefault="00D943BD" w:rsidP="00D943BD">
      <w:pPr>
        <w:tabs>
          <w:tab w:val="left" w:pos="6550"/>
        </w:tabs>
        <w:rPr>
          <w:rFonts w:ascii="Tahoma" w:hAnsi="Tahoma" w:cs="Tahoma"/>
          <w:noProof/>
          <w:sz w:val="16"/>
          <w:szCs w:val="16"/>
        </w:rPr>
      </w:pPr>
      <w:r>
        <w:rPr>
          <w:rFonts w:ascii="Tahoma" w:hAnsi="Tahoma"/>
          <w:sz w:val="16"/>
          <w:szCs w:val="16"/>
        </w:rPr>
        <w:tab/>
      </w:r>
    </w:p>
    <w:p w14:paraId="2714D9FA" w14:textId="599CB220" w:rsidR="00304F6B" w:rsidRDefault="00D943BD" w:rsidP="00D943BD">
      <w:pPr>
        <w:tabs>
          <w:tab w:val="left" w:pos="7130"/>
        </w:tabs>
        <w:rPr>
          <w:rFonts w:ascii="Tahoma" w:hAnsi="Tahoma" w:cs="Tahoma"/>
          <w:noProof/>
          <w:sz w:val="16"/>
          <w:szCs w:val="16"/>
        </w:rPr>
      </w:pPr>
      <w:r>
        <w:rPr>
          <w:rFonts w:ascii="Tahoma" w:hAnsi="Tahoma"/>
          <w:sz w:val="16"/>
          <w:szCs w:val="16"/>
        </w:rPr>
        <w:tab/>
      </w:r>
    </w:p>
    <w:p w14:paraId="65FB20B6" w14:textId="77777777" w:rsidR="00304F6B" w:rsidRDefault="00304F6B" w:rsidP="00304F6B">
      <w:pPr>
        <w:rPr>
          <w:rFonts w:ascii="Tahoma" w:hAnsi="Tahoma" w:cs="Tahoma"/>
          <w:noProof/>
          <w:sz w:val="16"/>
          <w:szCs w:val="16"/>
          <w:lang w:val="de-DE" w:eastAsia="zh-CN" w:bidi="ar-SA"/>
        </w:rPr>
      </w:pPr>
    </w:p>
    <w:p w14:paraId="6E22DE99" w14:textId="77777777" w:rsidR="00304F6B" w:rsidRDefault="00304F6B" w:rsidP="00304F6B">
      <w:pPr>
        <w:rPr>
          <w:rFonts w:ascii="Tahoma" w:hAnsi="Tahoma" w:cs="Tahoma"/>
          <w:noProof/>
          <w:sz w:val="16"/>
          <w:szCs w:val="16"/>
          <w:lang w:val="de-DE" w:eastAsia="zh-CN" w:bidi="ar-SA"/>
        </w:rPr>
      </w:pPr>
    </w:p>
    <w:p w14:paraId="4AC296C8" w14:textId="77777777" w:rsidR="00304F6B" w:rsidRDefault="00304F6B" w:rsidP="00304F6B">
      <w:pPr>
        <w:rPr>
          <w:rFonts w:ascii="Tahoma" w:hAnsi="Tahoma" w:cs="Tahoma"/>
          <w:noProof/>
          <w:sz w:val="16"/>
          <w:szCs w:val="16"/>
          <w:lang w:val="de-DE" w:eastAsia="zh-CN" w:bidi="ar-SA"/>
        </w:rPr>
      </w:pPr>
    </w:p>
    <w:p w14:paraId="261F5298" w14:textId="77777777" w:rsidR="00304F6B" w:rsidRDefault="00304F6B" w:rsidP="00304F6B">
      <w:pPr>
        <w:rPr>
          <w:rFonts w:ascii="Tahoma" w:hAnsi="Tahoma" w:cs="Tahoma"/>
          <w:noProof/>
          <w:sz w:val="16"/>
          <w:szCs w:val="16"/>
          <w:lang w:val="de-DE" w:eastAsia="zh-CN" w:bidi="ar-SA"/>
        </w:rPr>
      </w:pPr>
    </w:p>
    <w:p w14:paraId="1AB06631" w14:textId="77777777" w:rsidR="00304F6B" w:rsidRDefault="00304F6B" w:rsidP="00304F6B">
      <w:pPr>
        <w:rPr>
          <w:rFonts w:ascii="Tahoma" w:hAnsi="Tahoma" w:cs="Tahoma"/>
          <w:noProof/>
          <w:sz w:val="16"/>
          <w:szCs w:val="16"/>
          <w:lang w:val="de-DE" w:eastAsia="zh-CN" w:bidi="ar-SA"/>
        </w:rPr>
      </w:pPr>
    </w:p>
    <w:p w14:paraId="7C4D1886" w14:textId="77777777" w:rsidR="00304F6B" w:rsidRDefault="00304F6B" w:rsidP="00304F6B">
      <w:pPr>
        <w:rPr>
          <w:rFonts w:ascii="Tahoma" w:hAnsi="Tahoma" w:cs="Tahoma"/>
          <w:noProof/>
          <w:sz w:val="16"/>
          <w:szCs w:val="16"/>
          <w:lang w:val="de-DE" w:eastAsia="zh-CN" w:bidi="ar-SA"/>
        </w:rPr>
      </w:pPr>
    </w:p>
    <w:p w14:paraId="34B2CBC2" w14:textId="77777777" w:rsidR="00304F6B" w:rsidRDefault="00304F6B" w:rsidP="00304F6B">
      <w:pPr>
        <w:rPr>
          <w:rFonts w:ascii="Tahoma" w:hAnsi="Tahoma" w:cs="Tahoma"/>
          <w:noProof/>
          <w:sz w:val="16"/>
          <w:szCs w:val="16"/>
          <w:lang w:val="de-DE" w:eastAsia="zh-CN" w:bidi="ar-SA"/>
        </w:rPr>
      </w:pPr>
    </w:p>
    <w:p w14:paraId="4A3FADB7" w14:textId="77777777" w:rsidR="00304F6B" w:rsidRDefault="00304F6B" w:rsidP="00304F6B">
      <w:pPr>
        <w:rPr>
          <w:rFonts w:ascii="Tahoma" w:hAnsi="Tahoma" w:cs="Tahoma"/>
          <w:noProof/>
          <w:sz w:val="16"/>
          <w:szCs w:val="16"/>
          <w:lang w:val="de-DE" w:eastAsia="zh-CN" w:bidi="ar-SA"/>
        </w:rPr>
      </w:pPr>
    </w:p>
    <w:p w14:paraId="07F80FF7" w14:textId="77777777" w:rsidR="00304F6B" w:rsidRDefault="00304F6B" w:rsidP="00304F6B">
      <w:pPr>
        <w:rPr>
          <w:rFonts w:ascii="Tahoma" w:hAnsi="Tahoma" w:cs="Tahoma"/>
          <w:noProof/>
          <w:sz w:val="16"/>
          <w:szCs w:val="16"/>
          <w:lang w:val="de-DE" w:eastAsia="zh-CN" w:bidi="ar-SA"/>
        </w:rPr>
      </w:pPr>
    </w:p>
    <w:p w14:paraId="528918F9" w14:textId="77777777" w:rsidR="00304F6B" w:rsidRDefault="00304F6B" w:rsidP="00304F6B">
      <w:pPr>
        <w:rPr>
          <w:rFonts w:ascii="Tahoma" w:hAnsi="Tahoma" w:cs="Tahoma"/>
          <w:noProof/>
          <w:sz w:val="16"/>
          <w:szCs w:val="16"/>
          <w:lang w:val="de-DE" w:eastAsia="zh-CN" w:bidi="ar-SA"/>
        </w:rPr>
      </w:pPr>
    </w:p>
    <w:p w14:paraId="708FE2AB" w14:textId="77777777" w:rsidR="00304F6B" w:rsidRDefault="00304F6B" w:rsidP="00304F6B">
      <w:pPr>
        <w:rPr>
          <w:rFonts w:ascii="Tahoma" w:hAnsi="Tahoma" w:cs="Tahoma"/>
          <w:noProof/>
          <w:sz w:val="16"/>
          <w:szCs w:val="16"/>
          <w:lang w:val="de-DE" w:eastAsia="zh-CN" w:bidi="ar-SA"/>
        </w:rPr>
      </w:pPr>
    </w:p>
    <w:p w14:paraId="23F0F5F7" w14:textId="6614AD43" w:rsidR="00C93F89" w:rsidRPr="00567828" w:rsidRDefault="002C6A6A" w:rsidP="00431C83">
      <w:pPr>
        <w:spacing w:line="280" w:lineRule="exact"/>
        <w:rPr>
          <w:rFonts w:ascii="Tahoma" w:hAnsi="Tahoma" w:cs="Tahoma"/>
          <w:b/>
          <w:sz w:val="28"/>
          <w:szCs w:val="28"/>
          <w:lang w:val="de-DE"/>
        </w:rPr>
      </w:pPr>
      <w:r w:rsidRPr="00567828">
        <w:rPr>
          <w:rFonts w:ascii="Tahoma" w:hAnsi="Tahoma"/>
          <w:b/>
          <w:sz w:val="28"/>
          <w:szCs w:val="28"/>
          <w:lang w:val="de-DE"/>
        </w:rPr>
        <w:br/>
      </w:r>
      <w:proofErr w:type="spellStart"/>
      <w:r w:rsidRPr="00567828">
        <w:rPr>
          <w:rFonts w:ascii="Tahoma" w:hAnsi="Tahoma"/>
          <w:b/>
          <w:sz w:val="28"/>
          <w:szCs w:val="28"/>
          <w:lang w:val="de-DE"/>
        </w:rPr>
        <w:t>Acting</w:t>
      </w:r>
      <w:proofErr w:type="spellEnd"/>
      <w:r w:rsidRPr="00567828">
        <w:rPr>
          <w:rFonts w:ascii="Tahoma" w:hAnsi="Tahoma"/>
          <w:b/>
          <w:sz w:val="28"/>
          <w:szCs w:val="28"/>
          <w:lang w:val="de-DE"/>
        </w:rPr>
        <w:t xml:space="preserve"> smart </w:t>
      </w:r>
      <w:proofErr w:type="spellStart"/>
      <w:r w:rsidRPr="00567828">
        <w:rPr>
          <w:rFonts w:ascii="Tahoma" w:hAnsi="Tahoma"/>
          <w:b/>
          <w:sz w:val="28"/>
          <w:szCs w:val="28"/>
          <w:lang w:val="de-DE"/>
        </w:rPr>
        <w:t>with</w:t>
      </w:r>
      <w:proofErr w:type="spellEnd"/>
      <w:r w:rsidRPr="00567828">
        <w:rPr>
          <w:rFonts w:ascii="Tahoma" w:hAnsi="Tahoma"/>
          <w:b/>
          <w:sz w:val="28"/>
          <w:szCs w:val="28"/>
          <w:lang w:val="de-DE"/>
        </w:rPr>
        <w:t xml:space="preserve"> </w:t>
      </w:r>
      <w:proofErr w:type="spellStart"/>
      <w:r w:rsidRPr="00567828">
        <w:rPr>
          <w:rFonts w:ascii="Tahoma" w:hAnsi="Tahoma"/>
          <w:b/>
          <w:sz w:val="28"/>
          <w:szCs w:val="28"/>
          <w:lang w:val="de-DE"/>
        </w:rPr>
        <w:t>ammonia</w:t>
      </w:r>
      <w:proofErr w:type="spellEnd"/>
      <w:r w:rsidRPr="00567828">
        <w:rPr>
          <w:rFonts w:ascii="Tahoma" w:hAnsi="Tahoma"/>
          <w:b/>
          <w:sz w:val="28"/>
          <w:szCs w:val="28"/>
          <w:lang w:val="de-DE"/>
        </w:rPr>
        <w:br/>
      </w:r>
    </w:p>
    <w:p w14:paraId="1519BFB4" w14:textId="1FCCFC98" w:rsidR="00A9250D" w:rsidRPr="001E436E" w:rsidRDefault="00866BDE" w:rsidP="00630E69">
      <w:pPr>
        <w:spacing w:line="360" w:lineRule="auto"/>
        <w:rPr>
          <w:rFonts w:ascii="Tahoma" w:hAnsi="Tahoma" w:cs="Tahoma"/>
          <w:i/>
          <w:sz w:val="22"/>
          <w:szCs w:val="22"/>
          <w:highlight w:val="yellow"/>
        </w:rPr>
      </w:pPr>
      <w:proofErr w:type="spellStart"/>
      <w:r w:rsidRPr="00BC7E80">
        <w:rPr>
          <w:rFonts w:ascii="Tahoma" w:hAnsi="Tahoma"/>
          <w:i/>
          <w:sz w:val="22"/>
          <w:szCs w:val="22"/>
          <w:lang w:val="en-US"/>
        </w:rPr>
        <w:t>Sonderborg</w:t>
      </w:r>
      <w:proofErr w:type="spellEnd"/>
      <w:r w:rsidRPr="00BC7E80">
        <w:rPr>
          <w:rFonts w:ascii="Tahoma" w:hAnsi="Tahoma"/>
          <w:i/>
          <w:sz w:val="22"/>
          <w:szCs w:val="22"/>
          <w:lang w:val="en-US"/>
        </w:rPr>
        <w:t xml:space="preserve">/Sindelfingen, </w:t>
      </w:r>
      <w:r w:rsidR="00BC7E80" w:rsidRPr="00BC7E80">
        <w:rPr>
          <w:rFonts w:ascii="Tahoma" w:hAnsi="Tahoma"/>
          <w:i/>
          <w:sz w:val="22"/>
          <w:szCs w:val="22"/>
          <w:lang w:val="en-US"/>
        </w:rPr>
        <w:t>01.10</w:t>
      </w:r>
      <w:r w:rsidRPr="00BC7E80">
        <w:rPr>
          <w:rFonts w:ascii="Tahoma" w:hAnsi="Tahoma"/>
          <w:i/>
          <w:sz w:val="22"/>
          <w:szCs w:val="22"/>
          <w:lang w:val="en-US"/>
        </w:rPr>
        <w:t xml:space="preserve">.2019. </w:t>
      </w:r>
      <w:r>
        <w:rPr>
          <w:rFonts w:ascii="Tahoma" w:hAnsi="Tahoma"/>
          <w:i/>
          <w:sz w:val="22"/>
          <w:szCs w:val="22"/>
        </w:rPr>
        <w:t xml:space="preserve">Danish system manufacturer ICS and BITZER Nordic, the BITZER branch office responsible for the Scandinavian markets, successfully passed various BITZER </w:t>
      </w:r>
      <w:r w:rsidR="00A9250D" w:rsidRPr="001E436E">
        <w:rPr>
          <w:rFonts w:ascii="Tahoma" w:hAnsi="Tahoma"/>
          <w:i/>
          <w:sz w:val="22"/>
          <w:szCs w:val="22"/>
        </w:rPr>
        <w:t>A</w:t>
      </w:r>
      <w:r w:rsidR="001E436E">
        <w:rPr>
          <w:rFonts w:ascii="Tahoma" w:hAnsi="Tahoma"/>
          <w:i/>
          <w:sz w:val="22"/>
          <w:szCs w:val="22"/>
        </w:rPr>
        <w:t xml:space="preserve">mmonia </w:t>
      </w:r>
      <w:r w:rsidR="00A9250D" w:rsidRPr="001E436E">
        <w:rPr>
          <w:rFonts w:ascii="Tahoma" w:hAnsi="Tahoma"/>
          <w:i/>
          <w:sz w:val="22"/>
          <w:szCs w:val="22"/>
        </w:rPr>
        <w:t>C</w:t>
      </w:r>
      <w:r w:rsidR="001E436E">
        <w:rPr>
          <w:rFonts w:ascii="Tahoma" w:hAnsi="Tahoma"/>
          <w:i/>
          <w:sz w:val="22"/>
          <w:szCs w:val="22"/>
        </w:rPr>
        <w:t xml:space="preserve">ompressor </w:t>
      </w:r>
      <w:r w:rsidR="00A9250D" w:rsidRPr="001E436E">
        <w:rPr>
          <w:rFonts w:ascii="Tahoma" w:hAnsi="Tahoma"/>
          <w:i/>
          <w:sz w:val="22"/>
          <w:szCs w:val="22"/>
        </w:rPr>
        <w:t>P</w:t>
      </w:r>
      <w:r w:rsidR="001E436E">
        <w:rPr>
          <w:rFonts w:ascii="Tahoma" w:hAnsi="Tahoma"/>
          <w:i/>
          <w:sz w:val="22"/>
          <w:szCs w:val="22"/>
        </w:rPr>
        <w:t>ack</w:t>
      </w:r>
      <w:r w:rsidR="00A9250D" w:rsidRPr="001E436E">
        <w:rPr>
          <w:rFonts w:ascii="Tahoma" w:hAnsi="Tahoma"/>
          <w:i/>
          <w:sz w:val="22"/>
          <w:szCs w:val="22"/>
        </w:rPr>
        <w:t>s</w:t>
      </w:r>
      <w:r>
        <w:rPr>
          <w:rFonts w:ascii="Tahoma" w:hAnsi="Tahoma"/>
          <w:i/>
          <w:sz w:val="22"/>
          <w:szCs w:val="22"/>
        </w:rPr>
        <w:t xml:space="preserve"> (ACP) on to one of the biggest Danish food-processing companies. Additionally, this company benefits from the BITZER IQ </w:t>
      </w:r>
      <w:r w:rsidR="004E1EC8">
        <w:rPr>
          <w:rFonts w:ascii="Tahoma" w:hAnsi="Tahoma"/>
          <w:i/>
          <w:sz w:val="22"/>
          <w:szCs w:val="22"/>
        </w:rPr>
        <w:t>modules</w:t>
      </w:r>
      <w:r>
        <w:rPr>
          <w:rFonts w:ascii="Tahoma" w:hAnsi="Tahoma"/>
          <w:i/>
          <w:sz w:val="22"/>
          <w:szCs w:val="22"/>
        </w:rPr>
        <w:t xml:space="preserve"> being an integral part of every ACP. </w:t>
      </w:r>
    </w:p>
    <w:p w14:paraId="471D6A5E" w14:textId="68A11C6F" w:rsidR="00383ABB" w:rsidRPr="005462E0" w:rsidRDefault="00383ABB" w:rsidP="00383ABB">
      <w:pPr>
        <w:spacing w:line="360" w:lineRule="auto"/>
        <w:rPr>
          <w:rFonts w:ascii="Tahoma" w:hAnsi="Tahoma" w:cs="Tahoma"/>
          <w:sz w:val="22"/>
          <w:szCs w:val="22"/>
          <w:highlight w:val="yellow"/>
          <w:lang w:val="en-US"/>
        </w:rPr>
      </w:pPr>
    </w:p>
    <w:p w14:paraId="5BBFAA02" w14:textId="70B3643F" w:rsidR="005462E0" w:rsidRDefault="00C73D5E" w:rsidP="00353C65">
      <w:pPr>
        <w:spacing w:line="360" w:lineRule="auto"/>
        <w:rPr>
          <w:rFonts w:ascii="Tahoma" w:hAnsi="Tahoma"/>
          <w:sz w:val="22"/>
          <w:szCs w:val="22"/>
        </w:rPr>
      </w:pPr>
      <w:r>
        <w:rPr>
          <w:rFonts w:ascii="Tahoma" w:hAnsi="Tahoma"/>
          <w:sz w:val="22"/>
          <w:szCs w:val="22"/>
        </w:rPr>
        <w:t xml:space="preserve">Traditionally, Denmark’s colours are red and white – but the country is also very green. One of Denmark’s largest food processors thinks so, too, and repeatedly opts for </w:t>
      </w:r>
      <w:r w:rsidR="00353C65">
        <w:rPr>
          <w:rFonts w:ascii="Tahoma" w:hAnsi="Tahoma" w:cs="Tahoma"/>
          <w:sz w:val="22"/>
          <w:szCs w:val="22"/>
          <w:lang w:val="en-US"/>
        </w:rPr>
        <w:t>Ammonia Compressor Packs</w:t>
      </w:r>
      <w:r>
        <w:rPr>
          <w:rFonts w:ascii="Tahoma" w:hAnsi="Tahoma"/>
          <w:sz w:val="22"/>
          <w:szCs w:val="22"/>
        </w:rPr>
        <w:t xml:space="preserve"> made by BITZER</w:t>
      </w:r>
      <w:r w:rsidR="00353C65">
        <w:rPr>
          <w:rFonts w:ascii="Tahoma" w:hAnsi="Tahoma" w:cs="Tahoma"/>
          <w:sz w:val="22"/>
          <w:szCs w:val="22"/>
          <w:lang w:val="en-US"/>
        </w:rPr>
        <w:t xml:space="preserve"> (ACPs).</w:t>
      </w:r>
      <w:r>
        <w:rPr>
          <w:rFonts w:ascii="Tahoma" w:hAnsi="Tahoma"/>
          <w:sz w:val="22"/>
          <w:szCs w:val="22"/>
        </w:rPr>
        <w:t xml:space="preserve"> Last year they initiated another big project: since early 2018, two ACPs with three IQ </w:t>
      </w:r>
      <w:r w:rsidR="0013413F">
        <w:rPr>
          <w:rFonts w:ascii="Tahoma" w:hAnsi="Tahoma"/>
          <w:sz w:val="22"/>
          <w:szCs w:val="22"/>
        </w:rPr>
        <w:t>modules</w:t>
      </w:r>
      <w:r>
        <w:rPr>
          <w:rFonts w:ascii="Tahoma" w:hAnsi="Tahoma"/>
          <w:sz w:val="22"/>
          <w:szCs w:val="22"/>
        </w:rPr>
        <w:t xml:space="preserve"> each cater for the production of ice water with +1°C, serving the customer’s production processes. Their reliable partner in this case: ICS Industrial Cooling Systems. The Danish system manufacturer has been partnering with BITZER since 1987. </w:t>
      </w:r>
    </w:p>
    <w:p w14:paraId="42E21078" w14:textId="77777777" w:rsidR="005462E0" w:rsidRDefault="005462E0" w:rsidP="00353C65">
      <w:pPr>
        <w:spacing w:line="360" w:lineRule="auto"/>
        <w:rPr>
          <w:rFonts w:ascii="Tahoma" w:hAnsi="Tahoma"/>
          <w:sz w:val="22"/>
          <w:szCs w:val="22"/>
        </w:rPr>
      </w:pPr>
    </w:p>
    <w:p w14:paraId="09A08820" w14:textId="14D85850" w:rsidR="00C6278F" w:rsidRDefault="009C364C" w:rsidP="00C6278F">
      <w:pPr>
        <w:spacing w:line="360" w:lineRule="auto"/>
        <w:rPr>
          <w:rFonts w:ascii="Tahoma" w:hAnsi="Tahoma" w:cs="Tahoma"/>
          <w:sz w:val="22"/>
          <w:szCs w:val="22"/>
        </w:rPr>
      </w:pPr>
      <w:r>
        <w:rPr>
          <w:rFonts w:ascii="Tahoma" w:hAnsi="Tahoma"/>
          <w:sz w:val="22"/>
          <w:szCs w:val="22"/>
        </w:rPr>
        <w:t xml:space="preserve">Mikael Olsen, Project Manager at ICS, reports: “It’s a longer story: in January 2018, ICS brought two ACPs into operation at one of our biggest customers, who subsequently disposed of a refrigeration capacity of 4 MW at their central cooling plant. Concept and implementation were convincing, so planning for the final completion with BITZER ACPs with a total capacity of 12 MW began. A requirement was the use of products from BITZER, since some years ago ICS delivered and installed a rack which was constructed with BITZER components.” For this new application, system requirements were very clear: the solution had to fulfil specific claims regarding the capacity demand of a high COP and compact sizes. Now this design performs at a COP of 6.2. Claus </w:t>
      </w:r>
      <w:proofErr w:type="spellStart"/>
      <w:r>
        <w:rPr>
          <w:rFonts w:ascii="Tahoma" w:hAnsi="Tahoma"/>
          <w:sz w:val="22"/>
          <w:szCs w:val="22"/>
        </w:rPr>
        <w:t>Groenne</w:t>
      </w:r>
      <w:proofErr w:type="spellEnd"/>
      <w:r>
        <w:rPr>
          <w:rFonts w:ascii="Tahoma" w:hAnsi="Tahoma"/>
          <w:sz w:val="22"/>
          <w:szCs w:val="22"/>
        </w:rPr>
        <w:t>, Regional Manager BITZER Nordic, agrees: “We know that ICS attaches great importance to the COP – so we recognised right away that ACPs would be the best solution to go with in this special case.”</w:t>
      </w:r>
    </w:p>
    <w:p w14:paraId="50D52224" w14:textId="73B88A5A" w:rsidR="009C364C" w:rsidRPr="00C6278F" w:rsidRDefault="009C364C" w:rsidP="009C364C">
      <w:pPr>
        <w:spacing w:line="360" w:lineRule="auto"/>
        <w:rPr>
          <w:rFonts w:ascii="Tahoma" w:hAnsi="Tahoma"/>
          <w:sz w:val="22"/>
          <w:szCs w:val="22"/>
          <w:lang w:val="en-US"/>
        </w:rPr>
      </w:pPr>
    </w:p>
    <w:p w14:paraId="6D640C50" w14:textId="4AC0A6F7" w:rsidR="00C51A5B" w:rsidRPr="00735C6B" w:rsidRDefault="00C6278F" w:rsidP="00C51A5B">
      <w:pPr>
        <w:spacing w:line="360" w:lineRule="auto"/>
        <w:rPr>
          <w:rFonts w:ascii="Tahoma" w:hAnsi="Tahoma" w:cs="Tahoma"/>
          <w:sz w:val="22"/>
          <w:szCs w:val="22"/>
        </w:rPr>
      </w:pPr>
      <w:r>
        <w:rPr>
          <w:rFonts w:ascii="Tahoma" w:hAnsi="Tahoma"/>
          <w:sz w:val="22"/>
          <w:szCs w:val="22"/>
        </w:rPr>
        <w:lastRenderedPageBreak/>
        <w:t xml:space="preserve">Ammonia has no global warming potential, making it an excellent choice for environmentally conscious Danish companies. There are two screw compressors in each ACP, with each compressor and oil separator being monitored by a BITZER IQ </w:t>
      </w:r>
      <w:r w:rsidR="00C51A5B" w:rsidRPr="00735C6B">
        <w:rPr>
          <w:rFonts w:ascii="Tahoma" w:hAnsi="Tahoma" w:cs="Tahoma"/>
          <w:sz w:val="22"/>
          <w:szCs w:val="22"/>
          <w:lang w:val="en-US"/>
        </w:rPr>
        <w:t>module</w:t>
      </w:r>
      <w:r>
        <w:rPr>
          <w:rFonts w:ascii="Tahoma" w:hAnsi="Tahoma"/>
          <w:sz w:val="22"/>
          <w:szCs w:val="22"/>
        </w:rPr>
        <w:t xml:space="preserve">. These modules operate all compressor features such as the mechanical capacity control, additional cooling, oil return and the oil heater. They also monitor the oil level, the discharge gas and motor temperature, and can even monitor the application limits of the compressor. </w:t>
      </w:r>
    </w:p>
    <w:p w14:paraId="4AB01449" w14:textId="4056545D" w:rsidR="007C0495" w:rsidRDefault="00C6278F" w:rsidP="007C0495">
      <w:pPr>
        <w:spacing w:line="360" w:lineRule="auto"/>
        <w:rPr>
          <w:rFonts w:ascii="Tahoma" w:hAnsi="Tahoma" w:cs="Tahoma"/>
          <w:sz w:val="22"/>
          <w:szCs w:val="22"/>
        </w:rPr>
      </w:pPr>
      <w:r>
        <w:rPr>
          <w:rFonts w:ascii="Tahoma" w:hAnsi="Tahoma"/>
          <w:sz w:val="22"/>
          <w:szCs w:val="22"/>
        </w:rPr>
        <w:br/>
        <w:t xml:space="preserve">Mikael Olsen recapitulates: “The ACPs are running very well. We often opt for ammonia, as it is highly efficient and has no global warming potential. This was a very important argument for our customer. At their premises, there are also more than 20 BITZER screw compressors in operation using ammonia as well. Currently, we have four </w:t>
      </w:r>
      <w:r w:rsidR="004C2F88">
        <w:rPr>
          <w:rFonts w:ascii="Tahoma" w:hAnsi="Tahoma"/>
          <w:sz w:val="22"/>
          <w:szCs w:val="22"/>
        </w:rPr>
        <w:t xml:space="preserve">BITZER </w:t>
      </w:r>
      <w:r>
        <w:rPr>
          <w:rFonts w:ascii="Tahoma" w:hAnsi="Tahoma"/>
          <w:sz w:val="22"/>
          <w:szCs w:val="22"/>
        </w:rPr>
        <w:t xml:space="preserve">ACP units running there which are meant for refrigeration and four </w:t>
      </w:r>
      <w:r w:rsidR="004C2F88">
        <w:rPr>
          <w:rFonts w:ascii="Tahoma" w:hAnsi="Tahoma"/>
          <w:sz w:val="22"/>
          <w:szCs w:val="22"/>
        </w:rPr>
        <w:t xml:space="preserve">of our own </w:t>
      </w:r>
      <w:r>
        <w:rPr>
          <w:rFonts w:ascii="Tahoma" w:hAnsi="Tahoma"/>
          <w:sz w:val="22"/>
          <w:szCs w:val="22"/>
        </w:rPr>
        <w:t xml:space="preserve">heat pump </w:t>
      </w:r>
      <w:r w:rsidR="004C2F88">
        <w:rPr>
          <w:rFonts w:ascii="Tahoma" w:hAnsi="Tahoma"/>
          <w:sz w:val="22"/>
          <w:szCs w:val="22"/>
        </w:rPr>
        <w:t>units</w:t>
      </w:r>
      <w:bookmarkStart w:id="0" w:name="_GoBack"/>
      <w:bookmarkEnd w:id="0"/>
      <w:r w:rsidR="004C2F88">
        <w:rPr>
          <w:rFonts w:ascii="Tahoma" w:hAnsi="Tahoma"/>
          <w:sz w:val="22"/>
          <w:szCs w:val="22"/>
        </w:rPr>
        <w:t xml:space="preserve"> using BITZER screw compressors</w:t>
      </w:r>
      <w:r>
        <w:rPr>
          <w:rFonts w:ascii="Tahoma" w:hAnsi="Tahoma"/>
          <w:sz w:val="22"/>
          <w:szCs w:val="22"/>
        </w:rPr>
        <w:t>. BITZER provides excellent service for all of them.”</w:t>
      </w:r>
    </w:p>
    <w:p w14:paraId="1BD0A214" w14:textId="2DE69D14" w:rsidR="00C03488" w:rsidRDefault="00C03488" w:rsidP="00A9250D">
      <w:pPr>
        <w:spacing w:line="360" w:lineRule="auto"/>
        <w:rPr>
          <w:rFonts w:ascii="Tahoma" w:hAnsi="Tahoma"/>
          <w:sz w:val="22"/>
          <w:szCs w:val="22"/>
        </w:rPr>
      </w:pPr>
    </w:p>
    <w:p w14:paraId="7B9CC1E0" w14:textId="76295C24" w:rsidR="00027F77" w:rsidRPr="00721327" w:rsidRDefault="00027F77" w:rsidP="00027F77">
      <w:pPr>
        <w:spacing w:line="360" w:lineRule="auto"/>
        <w:jc w:val="center"/>
        <w:rPr>
          <w:rFonts w:ascii="Tahoma" w:hAnsi="Tahoma" w:cs="Tahoma"/>
          <w:sz w:val="22"/>
          <w:szCs w:val="22"/>
        </w:rPr>
      </w:pPr>
      <w:r>
        <w:rPr>
          <w:rFonts w:ascii="Arial" w:hAnsi="Arial"/>
          <w:sz w:val="22"/>
        </w:rPr>
        <w:t>■</w:t>
      </w:r>
    </w:p>
    <w:p w14:paraId="47C69DDE" w14:textId="77777777" w:rsidR="00027F77" w:rsidRPr="00630E69" w:rsidRDefault="00027F77" w:rsidP="00027F77">
      <w:pPr>
        <w:spacing w:line="360" w:lineRule="auto"/>
        <w:rPr>
          <w:rFonts w:ascii="Tahoma" w:hAnsi="Tahoma" w:cs="Tahoma"/>
          <w:sz w:val="22"/>
          <w:szCs w:val="22"/>
          <w:lang w:val="en-US"/>
        </w:rPr>
      </w:pPr>
    </w:p>
    <w:p w14:paraId="2A44F448" w14:textId="45B73F3B" w:rsidR="00D33A81" w:rsidRPr="002A3E6C" w:rsidRDefault="00D33A81" w:rsidP="00D33A81">
      <w:pPr>
        <w:spacing w:line="360" w:lineRule="auto"/>
        <w:rPr>
          <w:rFonts w:ascii="Tahoma" w:hAnsi="Tahoma"/>
          <w:sz w:val="20"/>
        </w:rPr>
      </w:pPr>
      <w:r>
        <w:rPr>
          <w:rFonts w:ascii="Tahoma" w:hAnsi="Tahoma"/>
          <w:sz w:val="20"/>
        </w:rPr>
        <w:t>As an independent specialist for refrigeration and air conditioning technology, BITZER is present all over the world: with products and services for refrigeration, air conditioning and process cooling as well as transport, BITZER ensures optimum temperature conditions for trade in goods, industry processes and indoor climate control – always considering highest possible energy efficiency and quality. BITZER is represented all over the world with 65 sites in 34 countries – </w:t>
      </w:r>
      <w:r w:rsidRPr="002A3E6C">
        <w:rPr>
          <w:rFonts w:ascii="Tahoma" w:hAnsi="Tahoma"/>
          <w:sz w:val="20"/>
        </w:rPr>
        <w:t xml:space="preserve"> </w:t>
      </w:r>
      <w:r>
        <w:rPr>
          <w:rFonts w:ascii="Tahoma" w:hAnsi="Tahoma"/>
          <w:sz w:val="20"/>
        </w:rPr>
        <w:t>sales companies and production sites inclusively. Trade and service partners included, the BITZER network of manufacturing, development and sales extends to almost all countries in the world. In 2018, 3,500 employees generated a turnover of €740 million; expenditure for research and development totalled €37 million.</w:t>
      </w:r>
    </w:p>
    <w:p w14:paraId="1BDE82E9" w14:textId="77777777" w:rsidR="00BF7356" w:rsidRPr="00D33A81" w:rsidRDefault="00BF7356" w:rsidP="00794A9B">
      <w:pPr>
        <w:spacing w:line="360" w:lineRule="auto"/>
        <w:rPr>
          <w:rFonts w:ascii="Tahoma" w:hAnsi="Tahoma" w:cs="Tahoma"/>
          <w:sz w:val="20"/>
          <w:szCs w:val="22"/>
        </w:rPr>
      </w:pPr>
    </w:p>
    <w:p w14:paraId="03451BC7" w14:textId="77777777" w:rsidR="00C93F89" w:rsidRPr="00721327" w:rsidRDefault="00C93F89" w:rsidP="00C93F89">
      <w:pPr>
        <w:spacing w:line="360" w:lineRule="auto"/>
        <w:rPr>
          <w:rFonts w:ascii="Tahoma" w:hAnsi="Tahoma" w:cs="Tahoma"/>
          <w:b/>
          <w:sz w:val="20"/>
          <w:szCs w:val="22"/>
        </w:rPr>
      </w:pPr>
      <w:r>
        <w:rPr>
          <w:rFonts w:ascii="Tahoma" w:hAnsi="Tahoma"/>
          <w:b/>
          <w:sz w:val="20"/>
          <w:szCs w:val="22"/>
        </w:rPr>
        <w:t>Overview of images</w:t>
      </w:r>
    </w:p>
    <w:p w14:paraId="0D4746D6" w14:textId="77777777" w:rsidR="00C93F89" w:rsidRPr="00721327" w:rsidRDefault="00C93F89" w:rsidP="00C93F89">
      <w:pPr>
        <w:spacing w:line="360" w:lineRule="auto"/>
        <w:rPr>
          <w:rFonts w:ascii="Tahoma" w:hAnsi="Tahoma" w:cs="Tahoma"/>
          <w:sz w:val="20"/>
          <w:szCs w:val="22"/>
        </w:rPr>
      </w:pPr>
      <w:r>
        <w:rPr>
          <w:rFonts w:ascii="Tahoma" w:hAnsi="Tahoma"/>
          <w:sz w:val="20"/>
          <w:szCs w:val="22"/>
        </w:rPr>
        <w:t>Images may only be used for editorial purposes. They can be used free of charge if the source is given – ‘Photo: BITZER’ – and a free copy of the publication is sent to us. Images may not be modified or altered, except to crop out the background surrounding the main subject.</w:t>
      </w:r>
    </w:p>
    <w:p w14:paraId="0275334D" w14:textId="601BA482" w:rsidR="00C93F89" w:rsidRDefault="00C93F89" w:rsidP="00C93F89">
      <w:pPr>
        <w:spacing w:line="360" w:lineRule="auto"/>
        <w:rPr>
          <w:rFonts w:ascii="Tahoma" w:hAnsi="Tahoma" w:cs="Tahoma"/>
          <w:sz w:val="22"/>
          <w:szCs w:val="22"/>
          <w:lang w:val="en-US"/>
        </w:rPr>
      </w:pPr>
    </w:p>
    <w:p w14:paraId="1F8308B0" w14:textId="46584749" w:rsidR="00C51A5B" w:rsidRPr="00630E69" w:rsidRDefault="00C51A5B" w:rsidP="00C93F89">
      <w:pPr>
        <w:spacing w:line="360" w:lineRule="auto"/>
        <w:rPr>
          <w:rFonts w:ascii="Tahoma" w:hAnsi="Tahoma" w:cs="Tahoma"/>
          <w:sz w:val="22"/>
          <w:szCs w:val="22"/>
        </w:rPr>
      </w:pPr>
      <w:r>
        <w:rPr>
          <w:noProof/>
          <w:lang w:val="de-DE" w:eastAsia="de-DE" w:bidi="ar-SA"/>
        </w:rPr>
        <w:lastRenderedPageBreak/>
        <w:drawing>
          <wp:inline distT="0" distB="0" distL="0" distR="0" wp14:anchorId="0EA04681" wp14:editId="586D2555">
            <wp:extent cx="3181034" cy="3589200"/>
            <wp:effectExtent l="0" t="0" r="63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1034" cy="3589200"/>
                    </a:xfrm>
                    <a:prstGeom prst="rect">
                      <a:avLst/>
                    </a:prstGeom>
                    <a:noFill/>
                    <a:ln>
                      <a:noFill/>
                    </a:ln>
                  </pic:spPr>
                </pic:pic>
              </a:graphicData>
            </a:graphic>
          </wp:inline>
        </w:drawing>
      </w:r>
    </w:p>
    <w:p w14:paraId="721E0DC1" w14:textId="5E9BBECA" w:rsidR="00330472" w:rsidRDefault="00383ABB" w:rsidP="00383ABB">
      <w:pPr>
        <w:tabs>
          <w:tab w:val="left" w:pos="4780"/>
        </w:tabs>
        <w:spacing w:line="360" w:lineRule="atLeast"/>
        <w:rPr>
          <w:rFonts w:ascii="Tahoma" w:hAnsi="Tahoma"/>
          <w:sz w:val="22"/>
          <w:szCs w:val="22"/>
        </w:rPr>
      </w:pPr>
      <w:r>
        <w:rPr>
          <w:rFonts w:ascii="Tahoma" w:hAnsi="Tahoma"/>
          <w:sz w:val="22"/>
          <w:szCs w:val="22"/>
        </w:rPr>
        <w:t>Image 1: ICS installed two BITZER ACPs for the production of ice water at one of Denmark’s largest food-processing companies</w:t>
      </w:r>
    </w:p>
    <w:p w14:paraId="17F33975" w14:textId="77777777" w:rsidR="00C51A5B" w:rsidRDefault="00C51A5B" w:rsidP="00383ABB">
      <w:pPr>
        <w:tabs>
          <w:tab w:val="left" w:pos="4780"/>
        </w:tabs>
        <w:spacing w:line="360" w:lineRule="atLeast"/>
        <w:rPr>
          <w:rFonts w:ascii="Tahoma" w:hAnsi="Tahoma" w:cs="Tahoma"/>
          <w:sz w:val="22"/>
          <w:szCs w:val="22"/>
        </w:rPr>
      </w:pPr>
    </w:p>
    <w:p w14:paraId="7191E1AD" w14:textId="667BC29C" w:rsidR="00721327" w:rsidRPr="00721327" w:rsidRDefault="00C51A5B" w:rsidP="00383ABB">
      <w:pPr>
        <w:tabs>
          <w:tab w:val="left" w:pos="4780"/>
        </w:tabs>
        <w:spacing w:line="360" w:lineRule="atLeast"/>
        <w:rPr>
          <w:rFonts w:ascii="Tahoma" w:hAnsi="Tahoma" w:cs="Tahoma"/>
          <w:sz w:val="22"/>
          <w:szCs w:val="22"/>
        </w:rPr>
      </w:pPr>
      <w:r>
        <w:rPr>
          <w:noProof/>
          <w:lang w:val="de-DE" w:eastAsia="de-DE" w:bidi="ar-SA"/>
        </w:rPr>
        <w:drawing>
          <wp:inline distT="0" distB="0" distL="0" distR="0" wp14:anchorId="4BBEF1B9" wp14:editId="71E7A46C">
            <wp:extent cx="3739900" cy="34560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39900" cy="3456000"/>
                    </a:xfrm>
                    <a:prstGeom prst="rect">
                      <a:avLst/>
                    </a:prstGeom>
                    <a:noFill/>
                    <a:ln>
                      <a:noFill/>
                    </a:ln>
                  </pic:spPr>
                </pic:pic>
              </a:graphicData>
            </a:graphic>
          </wp:inline>
        </w:drawing>
      </w:r>
      <w:r>
        <w:rPr>
          <w:rFonts w:ascii="Tahoma" w:hAnsi="Tahoma"/>
          <w:sz w:val="22"/>
          <w:szCs w:val="22"/>
        </w:rPr>
        <w:br/>
        <w:t>Image 2: Every ACP is monitored by three BITZER IQ modules</w:t>
      </w:r>
    </w:p>
    <w:sectPr w:rsidR="00721327" w:rsidRPr="00721327" w:rsidSect="00791ABF">
      <w:headerReference w:type="default" r:id="rId10"/>
      <w:footerReference w:type="default" r:id="rId11"/>
      <w:pgSz w:w="11906" w:h="16838"/>
      <w:pgMar w:top="680" w:right="567" w:bottom="567" w:left="1304" w:header="85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A72AC" w14:textId="77777777" w:rsidR="00996BA6" w:rsidRDefault="00996BA6" w:rsidP="00791ABF">
      <w:r>
        <w:separator/>
      </w:r>
    </w:p>
  </w:endnote>
  <w:endnote w:type="continuationSeparator" w:id="0">
    <w:p w14:paraId="6624DFA1" w14:textId="77777777" w:rsidR="00996BA6" w:rsidRDefault="00996BA6" w:rsidP="00791ABF">
      <w:r>
        <w:continuationSeparator/>
      </w:r>
    </w:p>
  </w:endnote>
  <w:endnote w:type="continuationNotice" w:id="1">
    <w:p w14:paraId="660A3B7B" w14:textId="77777777" w:rsidR="009F3B8B" w:rsidRDefault="009F3B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72683" w14:textId="77777777" w:rsidR="009F3B8B" w:rsidRDefault="009F3B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C5905" w14:textId="77777777" w:rsidR="00996BA6" w:rsidRDefault="00996BA6" w:rsidP="00791ABF">
      <w:r>
        <w:separator/>
      </w:r>
    </w:p>
  </w:footnote>
  <w:footnote w:type="continuationSeparator" w:id="0">
    <w:p w14:paraId="7ADA94C6" w14:textId="77777777" w:rsidR="00996BA6" w:rsidRDefault="00996BA6" w:rsidP="00791ABF">
      <w:r>
        <w:continuationSeparator/>
      </w:r>
    </w:p>
  </w:footnote>
  <w:footnote w:type="continuationNotice" w:id="1">
    <w:p w14:paraId="52147234" w14:textId="77777777" w:rsidR="009F3B8B" w:rsidRDefault="009F3B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2673F" w14:textId="493A60CF" w:rsidR="00EA4104" w:rsidRDefault="00EA4104" w:rsidP="00791ABF">
    <w:pPr>
      <w:pStyle w:val="Kopfzeile"/>
      <w:tabs>
        <w:tab w:val="left" w:pos="2377"/>
        <w:tab w:val="right" w:pos="10036"/>
      </w:tabs>
      <w:rPr>
        <w:rFonts w:ascii="Tahoma" w:hAnsi="Tahoma"/>
        <w:b/>
        <w:sz w:val="40"/>
      </w:rPr>
    </w:pPr>
    <w:r>
      <w:rPr>
        <w:rFonts w:ascii="Tahoma" w:hAnsi="Tahoma"/>
        <w:b/>
        <w:noProof/>
        <w:sz w:val="40"/>
        <w:szCs w:val="40"/>
        <w:lang w:val="de-DE" w:eastAsia="de-DE" w:bidi="ar-SA"/>
      </w:rPr>
      <w:drawing>
        <wp:anchor distT="0" distB="0" distL="114300" distR="114300" simplePos="0" relativeHeight="251659264" behindDoc="0" locked="0" layoutInCell="1" allowOverlap="1" wp14:anchorId="505568D4" wp14:editId="77A35C23">
          <wp:simplePos x="0" y="0"/>
          <wp:positionH relativeFrom="column">
            <wp:posOffset>4054511</wp:posOffset>
          </wp:positionH>
          <wp:positionV relativeFrom="paragraph">
            <wp:posOffset>-169449</wp:posOffset>
          </wp:positionV>
          <wp:extent cx="2318445" cy="647700"/>
          <wp:effectExtent l="0" t="0" r="571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r="9850"/>
                  <a:stretch/>
                </pic:blipFill>
                <pic:spPr bwMode="auto">
                  <a:xfrm>
                    <a:off x="0" y="0"/>
                    <a:ext cx="2318445" cy="647700"/>
                  </a:xfrm>
                  <a:prstGeom prst="rect">
                    <a:avLst/>
                  </a:prstGeom>
                  <a:ln>
                    <a:noFill/>
                  </a:ln>
                  <a:extLst>
                    <a:ext uri="{53640926-AAD7-44D8-BBD7-CCE9431645EC}">
                      <a14:shadowObscured xmlns:a14="http://schemas.microsoft.com/office/drawing/2010/main"/>
                    </a:ext>
                  </a:extLst>
                </pic:spPr>
              </pic:pic>
            </a:graphicData>
          </a:graphic>
        </wp:anchor>
      </w:drawing>
    </w:r>
    <w:r>
      <w:rPr>
        <w:rFonts w:ascii="Tahoma" w:hAnsi="Tahoma"/>
        <w:b/>
        <w:sz w:val="40"/>
      </w:rPr>
      <w:t>Press information</w:t>
    </w:r>
  </w:p>
  <w:p w14:paraId="3FCCE3D7" w14:textId="77777777" w:rsidR="00EA4104" w:rsidRPr="00791ABF" w:rsidRDefault="00EA4104" w:rsidP="00791ABF">
    <w:pPr>
      <w:pStyle w:val="Kopfzeile"/>
      <w:tabs>
        <w:tab w:val="left" w:pos="2377"/>
        <w:tab w:val="right" w:pos="10036"/>
      </w:tabs>
      <w:rPr>
        <w:rFonts w:ascii="Tahoma" w:hAnsi="Tahoma" w:cs="Tahoma"/>
        <w:b/>
        <w:sz w:val="40"/>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FD58CC"/>
    <w:multiLevelType w:val="hybridMultilevel"/>
    <w:tmpl w:val="8D8E07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D6C6EE1"/>
    <w:multiLevelType w:val="hybridMultilevel"/>
    <w:tmpl w:val="E2126D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675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ABF"/>
    <w:rsid w:val="0001105B"/>
    <w:rsid w:val="00015A76"/>
    <w:rsid w:val="0001653C"/>
    <w:rsid w:val="00027F77"/>
    <w:rsid w:val="00042B14"/>
    <w:rsid w:val="00053BBC"/>
    <w:rsid w:val="000673D4"/>
    <w:rsid w:val="0007363D"/>
    <w:rsid w:val="00087381"/>
    <w:rsid w:val="00091479"/>
    <w:rsid w:val="000B4752"/>
    <w:rsid w:val="000C3D3A"/>
    <w:rsid w:val="00106FD7"/>
    <w:rsid w:val="00112954"/>
    <w:rsid w:val="001319B0"/>
    <w:rsid w:val="0013413F"/>
    <w:rsid w:val="00164284"/>
    <w:rsid w:val="0016589E"/>
    <w:rsid w:val="00170C0E"/>
    <w:rsid w:val="001907BC"/>
    <w:rsid w:val="001A1620"/>
    <w:rsid w:val="001B0962"/>
    <w:rsid w:val="001C1FF6"/>
    <w:rsid w:val="001D4415"/>
    <w:rsid w:val="001E436E"/>
    <w:rsid w:val="001F4D01"/>
    <w:rsid w:val="001F6293"/>
    <w:rsid w:val="001F70B6"/>
    <w:rsid w:val="00220579"/>
    <w:rsid w:val="00230196"/>
    <w:rsid w:val="00244738"/>
    <w:rsid w:val="00283D02"/>
    <w:rsid w:val="00294FFA"/>
    <w:rsid w:val="002C6A6A"/>
    <w:rsid w:val="002D2891"/>
    <w:rsid w:val="002E4602"/>
    <w:rsid w:val="002E512C"/>
    <w:rsid w:val="00304F6B"/>
    <w:rsid w:val="00330472"/>
    <w:rsid w:val="00340403"/>
    <w:rsid w:val="00353C65"/>
    <w:rsid w:val="00382968"/>
    <w:rsid w:val="00383ABB"/>
    <w:rsid w:val="00384D48"/>
    <w:rsid w:val="003A4B76"/>
    <w:rsid w:val="003A6378"/>
    <w:rsid w:val="003B2AF0"/>
    <w:rsid w:val="003D0708"/>
    <w:rsid w:val="003D0DBF"/>
    <w:rsid w:val="003D0F7E"/>
    <w:rsid w:val="003D20A0"/>
    <w:rsid w:val="00406894"/>
    <w:rsid w:val="004246D6"/>
    <w:rsid w:val="00431C83"/>
    <w:rsid w:val="0043273F"/>
    <w:rsid w:val="004573FA"/>
    <w:rsid w:val="00457DB6"/>
    <w:rsid w:val="004654CD"/>
    <w:rsid w:val="00494B46"/>
    <w:rsid w:val="004A3787"/>
    <w:rsid w:val="004B487F"/>
    <w:rsid w:val="004C2F88"/>
    <w:rsid w:val="004D7511"/>
    <w:rsid w:val="004E1EC8"/>
    <w:rsid w:val="004E766F"/>
    <w:rsid w:val="004F5419"/>
    <w:rsid w:val="004F63EC"/>
    <w:rsid w:val="005147A2"/>
    <w:rsid w:val="00516D08"/>
    <w:rsid w:val="00524443"/>
    <w:rsid w:val="00525218"/>
    <w:rsid w:val="005462E0"/>
    <w:rsid w:val="005479A7"/>
    <w:rsid w:val="00567493"/>
    <w:rsid w:val="0056768B"/>
    <w:rsid w:val="0056780C"/>
    <w:rsid w:val="00567828"/>
    <w:rsid w:val="00584828"/>
    <w:rsid w:val="005A0F5F"/>
    <w:rsid w:val="005A4FCE"/>
    <w:rsid w:val="005F6E69"/>
    <w:rsid w:val="006209B7"/>
    <w:rsid w:val="00630E69"/>
    <w:rsid w:val="00633D17"/>
    <w:rsid w:val="00646878"/>
    <w:rsid w:val="006637D8"/>
    <w:rsid w:val="00672EED"/>
    <w:rsid w:val="006901C8"/>
    <w:rsid w:val="00696CE2"/>
    <w:rsid w:val="006B04D0"/>
    <w:rsid w:val="006B49B4"/>
    <w:rsid w:val="006E19F9"/>
    <w:rsid w:val="006E5D10"/>
    <w:rsid w:val="0072009C"/>
    <w:rsid w:val="00721327"/>
    <w:rsid w:val="00723B2F"/>
    <w:rsid w:val="00735C6B"/>
    <w:rsid w:val="007362CD"/>
    <w:rsid w:val="007862EA"/>
    <w:rsid w:val="00791ABF"/>
    <w:rsid w:val="00794A9B"/>
    <w:rsid w:val="00796049"/>
    <w:rsid w:val="007A698A"/>
    <w:rsid w:val="007C0495"/>
    <w:rsid w:val="008115D0"/>
    <w:rsid w:val="00813CC4"/>
    <w:rsid w:val="00863973"/>
    <w:rsid w:val="00866BDE"/>
    <w:rsid w:val="0087170B"/>
    <w:rsid w:val="00887EEB"/>
    <w:rsid w:val="00895DDE"/>
    <w:rsid w:val="008A6003"/>
    <w:rsid w:val="008B4607"/>
    <w:rsid w:val="008F7D17"/>
    <w:rsid w:val="009023BC"/>
    <w:rsid w:val="00911872"/>
    <w:rsid w:val="00924A05"/>
    <w:rsid w:val="00934244"/>
    <w:rsid w:val="00963101"/>
    <w:rsid w:val="00996BA6"/>
    <w:rsid w:val="009A0669"/>
    <w:rsid w:val="009A0DB5"/>
    <w:rsid w:val="009A463D"/>
    <w:rsid w:val="009B7FCB"/>
    <w:rsid w:val="009C2E85"/>
    <w:rsid w:val="009C364C"/>
    <w:rsid w:val="009C4718"/>
    <w:rsid w:val="009C750A"/>
    <w:rsid w:val="009F3B8B"/>
    <w:rsid w:val="009F5C2D"/>
    <w:rsid w:val="00A03136"/>
    <w:rsid w:val="00A32DA8"/>
    <w:rsid w:val="00A50610"/>
    <w:rsid w:val="00A9250D"/>
    <w:rsid w:val="00AB2E7C"/>
    <w:rsid w:val="00AE11F5"/>
    <w:rsid w:val="00AE7E83"/>
    <w:rsid w:val="00B1092B"/>
    <w:rsid w:val="00B30AA4"/>
    <w:rsid w:val="00B719E9"/>
    <w:rsid w:val="00B754BB"/>
    <w:rsid w:val="00B75842"/>
    <w:rsid w:val="00B77E02"/>
    <w:rsid w:val="00BA64D5"/>
    <w:rsid w:val="00BB52CF"/>
    <w:rsid w:val="00BC1087"/>
    <w:rsid w:val="00BC7E80"/>
    <w:rsid w:val="00BE5342"/>
    <w:rsid w:val="00BF7356"/>
    <w:rsid w:val="00C03488"/>
    <w:rsid w:val="00C126A8"/>
    <w:rsid w:val="00C17632"/>
    <w:rsid w:val="00C25AFA"/>
    <w:rsid w:val="00C271A3"/>
    <w:rsid w:val="00C42733"/>
    <w:rsid w:val="00C51A5B"/>
    <w:rsid w:val="00C56F09"/>
    <w:rsid w:val="00C6061E"/>
    <w:rsid w:val="00C60BA5"/>
    <w:rsid w:val="00C6278F"/>
    <w:rsid w:val="00C635AB"/>
    <w:rsid w:val="00C72A8B"/>
    <w:rsid w:val="00C73D5E"/>
    <w:rsid w:val="00C8242E"/>
    <w:rsid w:val="00C86332"/>
    <w:rsid w:val="00C93F89"/>
    <w:rsid w:val="00C97BD4"/>
    <w:rsid w:val="00CD4AB2"/>
    <w:rsid w:val="00CD60E2"/>
    <w:rsid w:val="00CE242F"/>
    <w:rsid w:val="00CF257B"/>
    <w:rsid w:val="00D0429F"/>
    <w:rsid w:val="00D11315"/>
    <w:rsid w:val="00D11A27"/>
    <w:rsid w:val="00D163D9"/>
    <w:rsid w:val="00D304B5"/>
    <w:rsid w:val="00D33A81"/>
    <w:rsid w:val="00D423AF"/>
    <w:rsid w:val="00D45D2C"/>
    <w:rsid w:val="00D46EA4"/>
    <w:rsid w:val="00D579B0"/>
    <w:rsid w:val="00D62588"/>
    <w:rsid w:val="00D9119E"/>
    <w:rsid w:val="00D943BD"/>
    <w:rsid w:val="00DC6D93"/>
    <w:rsid w:val="00DE1054"/>
    <w:rsid w:val="00E009E7"/>
    <w:rsid w:val="00E02002"/>
    <w:rsid w:val="00E03C70"/>
    <w:rsid w:val="00E11A59"/>
    <w:rsid w:val="00E2666A"/>
    <w:rsid w:val="00E55C4E"/>
    <w:rsid w:val="00E56796"/>
    <w:rsid w:val="00E609B3"/>
    <w:rsid w:val="00E70A6E"/>
    <w:rsid w:val="00E83679"/>
    <w:rsid w:val="00E91C2B"/>
    <w:rsid w:val="00EA1F78"/>
    <w:rsid w:val="00EA4104"/>
    <w:rsid w:val="00EB3A6D"/>
    <w:rsid w:val="00EB4978"/>
    <w:rsid w:val="00EE0E1E"/>
    <w:rsid w:val="00EE4192"/>
    <w:rsid w:val="00EF2078"/>
    <w:rsid w:val="00EF25C1"/>
    <w:rsid w:val="00EF5026"/>
    <w:rsid w:val="00F10AAD"/>
    <w:rsid w:val="00F33D6F"/>
    <w:rsid w:val="00F37128"/>
    <w:rsid w:val="00F4774F"/>
    <w:rsid w:val="00F60CE3"/>
    <w:rsid w:val="00F8058E"/>
    <w:rsid w:val="00F913AC"/>
    <w:rsid w:val="00F93EDA"/>
    <w:rsid w:val="00F96C3E"/>
    <w:rsid w:val="00F96CBD"/>
    <w:rsid w:val="00FA512E"/>
    <w:rsid w:val="00FC0768"/>
    <w:rsid w:val="00FD14AE"/>
    <w:rsid w:val="00FF20FB"/>
    <w:rsid w:val="00FF52F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52A73C52"/>
  <w15:chartTrackingRefBased/>
  <w15:docId w15:val="{9AB9F845-0AA6-4FA3-92FB-36614915B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304F6B"/>
    <w:pPr>
      <w:spacing w:after="0" w:line="240" w:lineRule="auto"/>
    </w:pPr>
    <w:rPr>
      <w:rFonts w:ascii="Times New Roman" w:eastAsia="MS Mincho" w:hAnsi="Times New Roman" w:cs="Times New Roman"/>
      <w:sz w:val="24"/>
      <w:szCs w:val="24"/>
      <w:lang w:eastAsia="en-GB" w:bidi="en-GB"/>
    </w:rPr>
  </w:style>
  <w:style w:type="paragraph" w:styleId="berschrift2">
    <w:name w:val="heading 2"/>
    <w:basedOn w:val="Standard"/>
    <w:link w:val="berschrift2Zchn"/>
    <w:uiPriority w:val="9"/>
    <w:semiHidden/>
    <w:unhideWhenUsed/>
    <w:qFormat/>
    <w:rsid w:val="00087381"/>
    <w:pPr>
      <w:spacing w:before="100" w:beforeAutospacing="1" w:after="100" w:afterAutospacing="1"/>
      <w:outlineLvl w:val="1"/>
    </w:pPr>
    <w:rPr>
      <w:rFonts w:eastAsiaTheme="minorEastAsia"/>
      <w:b/>
      <w:bCs/>
      <w:sz w:val="36"/>
      <w:szCs w:val="36"/>
      <w:lang w:eastAsia="zh-CN" w:bidi="ar-SA"/>
    </w:rPr>
  </w:style>
  <w:style w:type="paragraph" w:styleId="berschrift5">
    <w:name w:val="heading 5"/>
    <w:basedOn w:val="Standard"/>
    <w:next w:val="Standard"/>
    <w:link w:val="berschrift5Zchn"/>
    <w:uiPriority w:val="9"/>
    <w:unhideWhenUsed/>
    <w:qFormat/>
    <w:rsid w:val="00813CC4"/>
    <w:pPr>
      <w:keepNext/>
      <w:keepLines/>
      <w:spacing w:before="40" w:line="259" w:lineRule="auto"/>
      <w:outlineLvl w:val="4"/>
    </w:pPr>
    <w:rPr>
      <w:rFonts w:asciiTheme="majorHAnsi" w:eastAsiaTheme="majorEastAsia" w:hAnsiTheme="majorHAnsi" w:cstheme="majorBidi"/>
      <w:color w:val="2E74B5" w:themeColor="accent1" w:themeShade="BF"/>
      <w:sz w:val="22"/>
      <w:szCs w:val="22"/>
      <w:lang w:eastAsia="zh-CN"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91ABF"/>
    <w:pPr>
      <w:tabs>
        <w:tab w:val="center" w:pos="4536"/>
        <w:tab w:val="right" w:pos="9072"/>
      </w:tabs>
    </w:pPr>
  </w:style>
  <w:style w:type="character" w:customStyle="1" w:styleId="KopfzeileZchn">
    <w:name w:val="Kopfzeile Zchn"/>
    <w:basedOn w:val="Absatz-Standardschriftart"/>
    <w:link w:val="Kopfzeile"/>
    <w:uiPriority w:val="99"/>
    <w:rsid w:val="00791ABF"/>
  </w:style>
  <w:style w:type="paragraph" w:styleId="Fuzeile">
    <w:name w:val="footer"/>
    <w:basedOn w:val="Standard"/>
    <w:link w:val="FuzeileZchn"/>
    <w:uiPriority w:val="99"/>
    <w:unhideWhenUsed/>
    <w:rsid w:val="00791ABF"/>
    <w:pPr>
      <w:tabs>
        <w:tab w:val="center" w:pos="4536"/>
        <w:tab w:val="right" w:pos="9072"/>
      </w:tabs>
    </w:pPr>
  </w:style>
  <w:style w:type="character" w:customStyle="1" w:styleId="FuzeileZchn">
    <w:name w:val="Fußzeile Zchn"/>
    <w:basedOn w:val="Absatz-Standardschriftart"/>
    <w:link w:val="Fuzeile"/>
    <w:uiPriority w:val="99"/>
    <w:rsid w:val="00791ABF"/>
  </w:style>
  <w:style w:type="paragraph" w:styleId="Listenabsatz">
    <w:name w:val="List Paragraph"/>
    <w:basedOn w:val="Standard"/>
    <w:uiPriority w:val="34"/>
    <w:qFormat/>
    <w:rsid w:val="00304F6B"/>
    <w:pPr>
      <w:spacing w:after="200" w:line="276" w:lineRule="auto"/>
      <w:ind w:left="720"/>
      <w:contextualSpacing/>
    </w:pPr>
    <w:rPr>
      <w:rFonts w:asciiTheme="minorHAnsi" w:eastAsiaTheme="minorHAnsi" w:hAnsiTheme="minorHAnsi" w:cstheme="minorBidi"/>
      <w:sz w:val="22"/>
      <w:szCs w:val="22"/>
      <w:lang w:eastAsia="de-DE" w:bidi="de-DE"/>
    </w:rPr>
  </w:style>
  <w:style w:type="character" w:styleId="Kommentarzeichen">
    <w:name w:val="annotation reference"/>
    <w:uiPriority w:val="99"/>
    <w:semiHidden/>
    <w:unhideWhenUsed/>
    <w:rsid w:val="00304F6B"/>
    <w:rPr>
      <w:sz w:val="16"/>
      <w:szCs w:val="16"/>
    </w:rPr>
  </w:style>
  <w:style w:type="paragraph" w:styleId="Kommentartext">
    <w:name w:val="annotation text"/>
    <w:link w:val="KommentartextZchn"/>
    <w:uiPriority w:val="99"/>
    <w:unhideWhenUsed/>
    <w:rsid w:val="00304F6B"/>
    <w:pPr>
      <w:spacing w:after="0" w:line="240" w:lineRule="auto"/>
    </w:pPr>
    <w:rPr>
      <w:rFonts w:ascii="Times New Roman" w:eastAsia="MS Mincho" w:hAnsi="Times New Roman" w:cs="Times New Roman"/>
      <w:sz w:val="20"/>
      <w:szCs w:val="20"/>
      <w:lang w:eastAsia="de-DE" w:bidi="de-DE"/>
    </w:rPr>
  </w:style>
  <w:style w:type="character" w:customStyle="1" w:styleId="KommentartextZchn">
    <w:name w:val="Kommentartext Zchn"/>
    <w:basedOn w:val="Absatz-Standardschriftart"/>
    <w:link w:val="Kommentartext"/>
    <w:uiPriority w:val="99"/>
    <w:rsid w:val="00304F6B"/>
    <w:rPr>
      <w:rFonts w:ascii="Times New Roman" w:eastAsia="MS Mincho" w:hAnsi="Times New Roman" w:cs="Times New Roman"/>
      <w:sz w:val="20"/>
      <w:szCs w:val="20"/>
      <w:lang w:eastAsia="de-DE" w:bidi="de-DE"/>
    </w:rPr>
  </w:style>
  <w:style w:type="paragraph" w:styleId="Sprechblasentext">
    <w:name w:val="Balloon Text"/>
    <w:basedOn w:val="Standard"/>
    <w:link w:val="SprechblasentextZchn"/>
    <w:uiPriority w:val="99"/>
    <w:semiHidden/>
    <w:unhideWhenUsed/>
    <w:rsid w:val="009A463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A463D"/>
    <w:rPr>
      <w:rFonts w:ascii="Segoe UI" w:eastAsia="MS Mincho" w:hAnsi="Segoe UI" w:cs="Segoe UI"/>
      <w:sz w:val="18"/>
      <w:szCs w:val="18"/>
      <w:lang w:val="en-GB" w:eastAsia="en-GB" w:bidi="en-GB"/>
    </w:rPr>
  </w:style>
  <w:style w:type="paragraph" w:styleId="Kommentarthema">
    <w:name w:val="annotation subject"/>
    <w:basedOn w:val="Kommentartext"/>
    <w:next w:val="Kommentartext"/>
    <w:link w:val="KommentarthemaZchn"/>
    <w:uiPriority w:val="99"/>
    <w:semiHidden/>
    <w:unhideWhenUsed/>
    <w:rsid w:val="004E766F"/>
    <w:rPr>
      <w:b/>
      <w:bCs/>
      <w:lang w:eastAsia="en-GB" w:bidi="en-GB"/>
    </w:rPr>
  </w:style>
  <w:style w:type="character" w:customStyle="1" w:styleId="KommentarthemaZchn">
    <w:name w:val="Kommentarthema Zchn"/>
    <w:basedOn w:val="KommentartextZchn"/>
    <w:link w:val="Kommentarthema"/>
    <w:uiPriority w:val="99"/>
    <w:semiHidden/>
    <w:rsid w:val="004E766F"/>
    <w:rPr>
      <w:rFonts w:ascii="Times New Roman" w:eastAsia="MS Mincho" w:hAnsi="Times New Roman" w:cs="Times New Roman"/>
      <w:b/>
      <w:bCs/>
      <w:sz w:val="20"/>
      <w:szCs w:val="20"/>
      <w:lang w:val="en-GB" w:eastAsia="en-GB" w:bidi="en-GB"/>
    </w:rPr>
  </w:style>
  <w:style w:type="character" w:customStyle="1" w:styleId="berschrift5Zchn">
    <w:name w:val="Überschrift 5 Zchn"/>
    <w:basedOn w:val="Absatz-Standardschriftart"/>
    <w:link w:val="berschrift5"/>
    <w:uiPriority w:val="9"/>
    <w:rsid w:val="00813CC4"/>
    <w:rPr>
      <w:rFonts w:asciiTheme="majorHAnsi" w:eastAsiaTheme="majorEastAsia" w:hAnsiTheme="majorHAnsi" w:cstheme="majorBidi"/>
      <w:color w:val="2E74B5" w:themeColor="accent1" w:themeShade="BF"/>
    </w:rPr>
  </w:style>
  <w:style w:type="paragraph" w:styleId="StandardWeb">
    <w:name w:val="Normal (Web)"/>
    <w:basedOn w:val="Standard"/>
    <w:uiPriority w:val="99"/>
    <w:unhideWhenUsed/>
    <w:rsid w:val="00813CC4"/>
    <w:pPr>
      <w:spacing w:before="100" w:beforeAutospacing="1" w:after="100" w:afterAutospacing="1"/>
    </w:pPr>
    <w:rPr>
      <w:rFonts w:eastAsiaTheme="minorEastAsia"/>
      <w:lang w:eastAsia="zh-CN" w:bidi="ar-SA"/>
    </w:rPr>
  </w:style>
  <w:style w:type="paragraph" w:customStyle="1" w:styleId="Default">
    <w:name w:val="Default"/>
    <w:rsid w:val="00813CC4"/>
    <w:pPr>
      <w:autoSpaceDE w:val="0"/>
      <w:autoSpaceDN w:val="0"/>
      <w:adjustRightInd w:val="0"/>
      <w:spacing w:after="0" w:line="240" w:lineRule="auto"/>
    </w:pPr>
    <w:rPr>
      <w:rFonts w:ascii="Arial" w:eastAsia="Times New Roman" w:hAnsi="Arial" w:cs="Arial"/>
      <w:color w:val="000000"/>
      <w:sz w:val="24"/>
      <w:szCs w:val="24"/>
      <w:lang w:eastAsia="de-DE"/>
    </w:rPr>
  </w:style>
  <w:style w:type="character" w:styleId="Hyperlink">
    <w:name w:val="Hyperlink"/>
    <w:basedOn w:val="Absatz-Standardschriftart"/>
    <w:uiPriority w:val="99"/>
    <w:unhideWhenUsed/>
    <w:rsid w:val="00CF257B"/>
    <w:rPr>
      <w:color w:val="0563C1" w:themeColor="hyperlink"/>
      <w:u w:val="single"/>
    </w:rPr>
  </w:style>
  <w:style w:type="character" w:styleId="BesuchterLink">
    <w:name w:val="FollowedHyperlink"/>
    <w:basedOn w:val="Absatz-Standardschriftart"/>
    <w:uiPriority w:val="99"/>
    <w:semiHidden/>
    <w:unhideWhenUsed/>
    <w:rsid w:val="00CF257B"/>
    <w:rPr>
      <w:color w:val="954F72" w:themeColor="followedHyperlink"/>
      <w:u w:val="single"/>
    </w:rPr>
  </w:style>
  <w:style w:type="character" w:customStyle="1" w:styleId="berschrift2Zchn">
    <w:name w:val="Überschrift 2 Zchn"/>
    <w:basedOn w:val="Absatz-Standardschriftart"/>
    <w:link w:val="berschrift2"/>
    <w:uiPriority w:val="9"/>
    <w:semiHidden/>
    <w:rsid w:val="00087381"/>
    <w:rPr>
      <w:rFonts w:ascii="Times New Roman" w:hAnsi="Times New Roman" w:cs="Times New Roman"/>
      <w:b/>
      <w:bCs/>
      <w:sz w:val="36"/>
      <w:szCs w:val="36"/>
    </w:rPr>
  </w:style>
  <w:style w:type="table" w:styleId="Tabellenraster">
    <w:name w:val="Table Grid"/>
    <w:basedOn w:val="NormaleTabelle"/>
    <w:uiPriority w:val="59"/>
    <w:rsid w:val="00D0429F"/>
    <w:pPr>
      <w:spacing w:after="0" w:line="240" w:lineRule="auto"/>
    </w:pPr>
    <w:rPr>
      <w:rFonts w:eastAsiaTheme="minorHAnsi"/>
      <w:lang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7D9E040C.dotm</Template>
  <TotalTime>0</TotalTime>
  <Pages>3</Pages>
  <Words>585</Words>
  <Characters>3689</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BITZER SE</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Koch, Janina</dc:creator>
  <cp:keywords/>
  <dc:description/>
  <cp:lastModifiedBy>Bitzer</cp:lastModifiedBy>
  <cp:revision>12</cp:revision>
  <cp:lastPrinted>2019-09-02T11:33:00Z</cp:lastPrinted>
  <dcterms:created xsi:type="dcterms:W3CDTF">2019-09-04T07:23:00Z</dcterms:created>
  <dcterms:modified xsi:type="dcterms:W3CDTF">2019-09-26T12:47:00Z</dcterms:modified>
</cp:coreProperties>
</file>