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3AB2E" w14:textId="77777777" w:rsidR="00304F6B" w:rsidRPr="00E7429A" w:rsidRDefault="00304F6B" w:rsidP="00304F6B">
      <w:pPr>
        <w:rPr>
          <w:rFonts w:ascii="Tahoma" w:hAnsi="Tahoma"/>
          <w:sz w:val="22"/>
          <w:szCs w:val="22"/>
        </w:rPr>
      </w:pPr>
    </w:p>
    <w:p w14:paraId="674ACD97" w14:textId="77777777" w:rsidR="00304F6B" w:rsidRPr="00E7429A" w:rsidRDefault="00304F6B" w:rsidP="00F60CE3">
      <w:pPr>
        <w:tabs>
          <w:tab w:val="left" w:pos="5820"/>
        </w:tabs>
        <w:rPr>
          <w:rFonts w:ascii="Tahoma" w:hAnsi="Tahoma"/>
          <w:sz w:val="22"/>
          <w:szCs w:val="22"/>
        </w:rPr>
      </w:pPr>
    </w:p>
    <w:p w14:paraId="3BBDF771" w14:textId="77777777" w:rsidR="00304F6B" w:rsidRPr="00E7429A" w:rsidRDefault="00304F6B" w:rsidP="00304F6B">
      <w:pPr>
        <w:rPr>
          <w:rFonts w:ascii="Tahoma" w:hAnsi="Tahoma" w:cs="Tahoma"/>
          <w:noProof/>
          <w:sz w:val="16"/>
          <w:szCs w:val="16"/>
        </w:rPr>
      </w:pPr>
    </w:p>
    <w:p w14:paraId="01CA7EE0" w14:textId="77777777" w:rsidR="00304F6B" w:rsidRPr="00E7429A" w:rsidRDefault="00304F6B" w:rsidP="00304F6B">
      <w:pPr>
        <w:rPr>
          <w:rFonts w:ascii="Tahoma" w:hAnsi="Tahoma" w:cs="Tahoma"/>
          <w:noProof/>
          <w:sz w:val="16"/>
          <w:szCs w:val="16"/>
        </w:rPr>
      </w:pPr>
      <w:r>
        <w:rPr>
          <w:rFonts w:ascii="Tahoma" w:hAnsi="Tahoma" w:cs="Tahoma"/>
          <w:noProof/>
          <w:sz w:val="16"/>
          <w:szCs w:val="16"/>
          <w:lang w:val="de-DE" w:eastAsia="zh-CN" w:bidi="ar-SA"/>
        </w:rPr>
        <w:drawing>
          <wp:anchor distT="0" distB="0" distL="114300" distR="114300" simplePos="0" relativeHeight="251659264" behindDoc="1" locked="1" layoutInCell="1" allowOverlap="1" wp14:anchorId="28A5F5D8" wp14:editId="01D51CFD">
            <wp:simplePos x="0" y="0"/>
            <wp:positionH relativeFrom="column">
              <wp:posOffset>0</wp:posOffset>
            </wp:positionH>
            <wp:positionV relativeFrom="paragraph">
              <wp:posOffset>-257175</wp:posOffset>
            </wp:positionV>
            <wp:extent cx="6371590" cy="189357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71590" cy="1893570"/>
                    </a:xfrm>
                    <a:prstGeom prst="rect">
                      <a:avLst/>
                    </a:prstGeom>
                  </pic:spPr>
                </pic:pic>
              </a:graphicData>
            </a:graphic>
            <wp14:sizeRelH relativeFrom="margin">
              <wp14:pctWidth>0</wp14:pctWidth>
            </wp14:sizeRelH>
            <wp14:sizeRelV relativeFrom="margin">
              <wp14:pctHeight>0</wp14:pctHeight>
            </wp14:sizeRelV>
          </wp:anchor>
        </w:drawing>
      </w:r>
    </w:p>
    <w:p w14:paraId="5071FC2A" w14:textId="77777777" w:rsidR="00304F6B" w:rsidRPr="00E7429A" w:rsidRDefault="00304F6B" w:rsidP="00304F6B">
      <w:pPr>
        <w:rPr>
          <w:rFonts w:ascii="Tahoma" w:hAnsi="Tahoma" w:cs="Tahoma"/>
          <w:noProof/>
          <w:sz w:val="16"/>
          <w:szCs w:val="16"/>
        </w:rPr>
      </w:pPr>
    </w:p>
    <w:p w14:paraId="3FE3B838" w14:textId="77777777" w:rsidR="00304F6B" w:rsidRPr="00E7429A" w:rsidRDefault="00304F6B" w:rsidP="00F60CE3">
      <w:pPr>
        <w:tabs>
          <w:tab w:val="left" w:pos="7020"/>
        </w:tabs>
        <w:rPr>
          <w:rFonts w:ascii="Tahoma" w:hAnsi="Tahoma" w:cs="Tahoma"/>
          <w:noProof/>
          <w:sz w:val="16"/>
          <w:szCs w:val="16"/>
        </w:rPr>
      </w:pPr>
    </w:p>
    <w:p w14:paraId="1E1F0879" w14:textId="77777777" w:rsidR="00304F6B" w:rsidRPr="00E7429A" w:rsidRDefault="00304F6B" w:rsidP="00304F6B">
      <w:pPr>
        <w:rPr>
          <w:rFonts w:ascii="Tahoma" w:hAnsi="Tahoma" w:cs="Tahoma"/>
          <w:noProof/>
          <w:sz w:val="16"/>
          <w:szCs w:val="16"/>
        </w:rPr>
      </w:pPr>
    </w:p>
    <w:p w14:paraId="2794D26A" w14:textId="77777777" w:rsidR="00304F6B" w:rsidRPr="00E7429A" w:rsidRDefault="00304F6B" w:rsidP="00304F6B">
      <w:pPr>
        <w:rPr>
          <w:rFonts w:ascii="Tahoma" w:hAnsi="Tahoma" w:cs="Tahoma"/>
          <w:noProof/>
          <w:sz w:val="16"/>
          <w:szCs w:val="16"/>
        </w:rPr>
      </w:pPr>
    </w:p>
    <w:p w14:paraId="1358F8CA" w14:textId="77777777" w:rsidR="00304F6B" w:rsidRPr="00E7429A" w:rsidRDefault="00304F6B" w:rsidP="00304F6B">
      <w:pPr>
        <w:rPr>
          <w:rFonts w:ascii="Tahoma" w:hAnsi="Tahoma" w:cs="Tahoma"/>
          <w:noProof/>
          <w:sz w:val="16"/>
          <w:szCs w:val="16"/>
        </w:rPr>
      </w:pPr>
    </w:p>
    <w:p w14:paraId="574D0D69" w14:textId="77777777" w:rsidR="00304F6B" w:rsidRPr="00E7429A" w:rsidRDefault="00304F6B" w:rsidP="00304F6B">
      <w:pPr>
        <w:rPr>
          <w:rFonts w:ascii="Tahoma" w:hAnsi="Tahoma" w:cs="Tahoma"/>
          <w:noProof/>
          <w:sz w:val="16"/>
          <w:szCs w:val="16"/>
        </w:rPr>
      </w:pPr>
    </w:p>
    <w:p w14:paraId="42085F8B" w14:textId="77777777" w:rsidR="00304F6B" w:rsidRPr="00E7429A" w:rsidRDefault="00304F6B" w:rsidP="00304F6B">
      <w:pPr>
        <w:rPr>
          <w:rFonts w:ascii="Tahoma" w:hAnsi="Tahoma" w:cs="Tahoma"/>
          <w:noProof/>
          <w:sz w:val="16"/>
          <w:szCs w:val="16"/>
        </w:rPr>
      </w:pPr>
    </w:p>
    <w:p w14:paraId="56462EA3" w14:textId="77777777" w:rsidR="00304F6B" w:rsidRPr="00E7429A" w:rsidRDefault="00304F6B" w:rsidP="00304F6B">
      <w:pPr>
        <w:rPr>
          <w:rFonts w:ascii="Tahoma" w:hAnsi="Tahoma" w:cs="Tahoma"/>
          <w:noProof/>
          <w:sz w:val="16"/>
          <w:szCs w:val="16"/>
        </w:rPr>
      </w:pPr>
    </w:p>
    <w:p w14:paraId="5D780691" w14:textId="77777777" w:rsidR="00304F6B" w:rsidRPr="00E7429A" w:rsidRDefault="00304F6B" w:rsidP="00304F6B">
      <w:pPr>
        <w:rPr>
          <w:rFonts w:ascii="Tahoma" w:hAnsi="Tahoma" w:cs="Tahoma"/>
          <w:noProof/>
          <w:sz w:val="16"/>
          <w:szCs w:val="16"/>
        </w:rPr>
      </w:pPr>
    </w:p>
    <w:p w14:paraId="60A0E355" w14:textId="77777777" w:rsidR="00304F6B" w:rsidRPr="00E7429A" w:rsidRDefault="00304F6B" w:rsidP="00304F6B">
      <w:pPr>
        <w:rPr>
          <w:rFonts w:ascii="Tahoma" w:hAnsi="Tahoma" w:cs="Tahoma"/>
          <w:noProof/>
          <w:sz w:val="16"/>
          <w:szCs w:val="16"/>
        </w:rPr>
      </w:pPr>
    </w:p>
    <w:p w14:paraId="173E1AFC" w14:textId="77777777" w:rsidR="00304F6B" w:rsidRPr="00E7429A" w:rsidRDefault="00304F6B" w:rsidP="00304F6B">
      <w:pPr>
        <w:rPr>
          <w:rFonts w:ascii="Tahoma" w:hAnsi="Tahoma" w:cs="Tahoma"/>
          <w:noProof/>
          <w:sz w:val="16"/>
          <w:szCs w:val="16"/>
        </w:rPr>
      </w:pPr>
    </w:p>
    <w:p w14:paraId="449DE6A0" w14:textId="77777777" w:rsidR="00304F6B" w:rsidRPr="00E7429A" w:rsidRDefault="00304F6B" w:rsidP="00304F6B">
      <w:pPr>
        <w:rPr>
          <w:rFonts w:ascii="Tahoma" w:hAnsi="Tahoma" w:cs="Tahoma"/>
          <w:noProof/>
          <w:sz w:val="16"/>
          <w:szCs w:val="16"/>
        </w:rPr>
      </w:pPr>
    </w:p>
    <w:p w14:paraId="78A560FD" w14:textId="77777777" w:rsidR="00304F6B" w:rsidRPr="00E7429A" w:rsidRDefault="00304F6B" w:rsidP="00304F6B">
      <w:pPr>
        <w:rPr>
          <w:rFonts w:ascii="Tahoma" w:hAnsi="Tahoma" w:cs="Tahoma"/>
          <w:noProof/>
          <w:sz w:val="16"/>
          <w:szCs w:val="16"/>
        </w:rPr>
      </w:pPr>
    </w:p>
    <w:p w14:paraId="7B86B415" w14:textId="77777777" w:rsidR="001B2FAB" w:rsidRPr="00E7429A" w:rsidRDefault="00C42733" w:rsidP="00B473B9">
      <w:pPr>
        <w:rPr>
          <w:rFonts w:ascii="Tahoma" w:hAnsi="Tahoma"/>
          <w:b/>
          <w:sz w:val="28"/>
        </w:rPr>
      </w:pPr>
      <w:r>
        <w:rPr>
          <w:rFonts w:ascii="Tahoma" w:hAnsi="Tahoma"/>
          <w:sz w:val="22"/>
          <w:szCs w:val="22"/>
        </w:rPr>
        <w:br/>
      </w:r>
      <w:r>
        <w:rPr>
          <w:rFonts w:ascii="Tahoma" w:hAnsi="Tahoma"/>
          <w:b/>
          <w:sz w:val="28"/>
        </w:rPr>
        <w:t>New app: BITZER provides product benefits in one package</w:t>
      </w:r>
      <w:r>
        <w:rPr>
          <w:rFonts w:ascii="Tahoma" w:hAnsi="Tahoma"/>
          <w:b/>
          <w:sz w:val="28"/>
        </w:rPr>
        <w:br/>
      </w:r>
    </w:p>
    <w:p w14:paraId="79B7724D" w14:textId="5C994481" w:rsidR="002540DB" w:rsidRPr="00EF254D" w:rsidRDefault="004E766F" w:rsidP="002540DB">
      <w:pPr>
        <w:spacing w:line="360" w:lineRule="auto"/>
        <w:rPr>
          <w:rFonts w:ascii="Tahoma" w:hAnsi="Tahoma" w:cs="Tahoma"/>
          <w:sz w:val="22"/>
          <w:szCs w:val="22"/>
        </w:rPr>
      </w:pPr>
      <w:r w:rsidRPr="00632256">
        <w:rPr>
          <w:rFonts w:ascii="Tahoma" w:hAnsi="Tahoma"/>
          <w:i/>
          <w:sz w:val="22"/>
        </w:rPr>
        <w:t xml:space="preserve">Sindelfingen, </w:t>
      </w:r>
      <w:r w:rsidR="00632256" w:rsidRPr="00632256">
        <w:rPr>
          <w:rFonts w:ascii="Tahoma" w:hAnsi="Tahoma"/>
          <w:i/>
          <w:sz w:val="22"/>
        </w:rPr>
        <w:t>10</w:t>
      </w:r>
      <w:r w:rsidRPr="00632256">
        <w:rPr>
          <w:rFonts w:ascii="Tahoma" w:hAnsi="Tahoma"/>
          <w:i/>
          <w:sz w:val="22"/>
        </w:rPr>
        <w:t>.09.2018. A helpful new tool for air</w:t>
      </w:r>
      <w:r w:rsidR="0009565F" w:rsidRPr="00632256">
        <w:rPr>
          <w:rFonts w:ascii="Tahoma" w:hAnsi="Tahoma"/>
          <w:i/>
          <w:sz w:val="22"/>
        </w:rPr>
        <w:t>-</w:t>
      </w:r>
      <w:r w:rsidRPr="00632256">
        <w:rPr>
          <w:rFonts w:ascii="Tahoma" w:hAnsi="Tahoma"/>
          <w:i/>
          <w:sz w:val="22"/>
        </w:rPr>
        <w:t xml:space="preserve">conditioning and refrigeration professionals has been on the App Store and Google Play since late August: the BITZER SPOT </w:t>
      </w:r>
      <w:r w:rsidR="00BC4AB1" w:rsidRPr="00632256">
        <w:rPr>
          <w:rFonts w:ascii="Tahoma" w:hAnsi="Tahoma"/>
          <w:i/>
          <w:sz w:val="22"/>
        </w:rPr>
        <w:t>A</w:t>
      </w:r>
      <w:r w:rsidRPr="00632256">
        <w:rPr>
          <w:rFonts w:ascii="Tahoma" w:hAnsi="Tahoma"/>
          <w:i/>
          <w:sz w:val="22"/>
        </w:rPr>
        <w:t xml:space="preserve">pp. The app enables users to verify the authenticity of their BITZER products. Additionally, the BITZER SPOT </w:t>
      </w:r>
      <w:r w:rsidR="00BC4AB1" w:rsidRPr="00632256">
        <w:rPr>
          <w:rFonts w:ascii="Tahoma" w:hAnsi="Tahoma"/>
          <w:i/>
          <w:sz w:val="22"/>
        </w:rPr>
        <w:t>A</w:t>
      </w:r>
      <w:r w:rsidRPr="00632256">
        <w:rPr>
          <w:rFonts w:ascii="Tahoma" w:hAnsi="Tahoma"/>
          <w:i/>
          <w:sz w:val="22"/>
        </w:rPr>
        <w:t>pp contains extensive documentation and a directory of all BITZER and Green Point service points as well as all certified dealers.</w:t>
      </w:r>
      <w:r>
        <w:rPr>
          <w:rFonts w:ascii="Tahoma" w:eastAsia="Times" w:hAnsi="Tahoma" w:cs="Tahoma"/>
          <w:i/>
          <w:sz w:val="22"/>
          <w:szCs w:val="22"/>
        </w:rPr>
        <w:br/>
      </w:r>
    </w:p>
    <w:p w14:paraId="0DA8EABD" w14:textId="4D0CB263" w:rsidR="00EF254D" w:rsidRDefault="00EF254D" w:rsidP="00EF254D">
      <w:pPr>
        <w:spacing w:after="200" w:line="360" w:lineRule="auto"/>
        <w:rPr>
          <w:rFonts w:ascii="Tahoma" w:hAnsi="Tahoma" w:cs="Tahoma"/>
          <w:sz w:val="22"/>
          <w:szCs w:val="22"/>
        </w:rPr>
      </w:pPr>
      <w:r>
        <w:rPr>
          <w:rFonts w:ascii="Tahoma" w:hAnsi="Tahoma"/>
          <w:sz w:val="22"/>
        </w:rPr>
        <w:t xml:space="preserve">To verify the authenticity of a BITZER product, users can simply use the BITZER SPOT </w:t>
      </w:r>
      <w:r w:rsidR="00BC4AB1">
        <w:rPr>
          <w:rFonts w:ascii="Tahoma" w:hAnsi="Tahoma"/>
          <w:sz w:val="22"/>
        </w:rPr>
        <w:t>A</w:t>
      </w:r>
      <w:r>
        <w:rPr>
          <w:rFonts w:ascii="Tahoma" w:hAnsi="Tahoma"/>
          <w:sz w:val="22"/>
        </w:rPr>
        <w:t>pp to scan the QR code on the product which protects BITZER customers from counterfeits. With this app, the specialist for refrigeration compressors offers its customers effective protection from system failures and high costs. Scanning the code notifies the user that the article is a genuine BITZER product.</w:t>
      </w:r>
    </w:p>
    <w:p w14:paraId="24420464" w14:textId="35DBD55E" w:rsidR="00EF254D" w:rsidRPr="00EF254D" w:rsidRDefault="002A1790" w:rsidP="00EF254D">
      <w:pPr>
        <w:spacing w:after="200" w:line="360" w:lineRule="auto"/>
        <w:rPr>
          <w:rFonts w:ascii="Tahoma" w:hAnsi="Tahoma" w:cs="Tahoma"/>
          <w:sz w:val="22"/>
          <w:szCs w:val="22"/>
        </w:rPr>
      </w:pPr>
      <w:r>
        <w:rPr>
          <w:rFonts w:ascii="Tahoma" w:hAnsi="Tahoma"/>
          <w:b/>
          <w:sz w:val="22"/>
        </w:rPr>
        <w:t>E</w:t>
      </w:r>
      <w:r w:rsidR="00EF254D">
        <w:rPr>
          <w:rFonts w:ascii="Tahoma" w:hAnsi="Tahoma"/>
          <w:b/>
          <w:sz w:val="22"/>
        </w:rPr>
        <w:t>xtensive documentation</w:t>
      </w:r>
      <w:r w:rsidR="00EF254D">
        <w:rPr>
          <w:rFonts w:ascii="Tahoma" w:hAnsi="Tahoma" w:cs="Tahoma"/>
          <w:sz w:val="22"/>
          <w:szCs w:val="22"/>
        </w:rPr>
        <w:br/>
      </w:r>
      <w:r>
        <w:rPr>
          <w:rFonts w:ascii="Tahoma" w:hAnsi="Tahoma"/>
          <w:sz w:val="22"/>
        </w:rPr>
        <w:t>T</w:t>
      </w:r>
      <w:r w:rsidR="00BC4AB1">
        <w:rPr>
          <w:rFonts w:ascii="Tahoma" w:hAnsi="Tahoma"/>
          <w:sz w:val="22"/>
        </w:rPr>
        <w:t>he BITZER SPOT A</w:t>
      </w:r>
      <w:r w:rsidR="00EF254D">
        <w:rPr>
          <w:rFonts w:ascii="Tahoma" w:hAnsi="Tahoma"/>
          <w:sz w:val="22"/>
        </w:rPr>
        <w:t>pp has a whole series of useful functions for users: when the QR code is scanned, the app automatically shows the extensive documentation for the product concerned, sorted by subject groups. Users can add this information to their favourites, download it and share it. This means that they can access the information even in offline mode. Thanks to a filter which is intuitive to use, BITZER customers can find every document quickly and easily.</w:t>
      </w:r>
    </w:p>
    <w:p w14:paraId="13AF3EDB" w14:textId="05D0F5FF" w:rsidR="00464763" w:rsidRPr="002E1E06" w:rsidRDefault="00464763" w:rsidP="00EF254D">
      <w:pPr>
        <w:spacing w:after="200" w:line="360" w:lineRule="auto"/>
        <w:rPr>
          <w:rFonts w:ascii="Tahoma" w:hAnsi="Tahoma" w:cs="Tahoma"/>
          <w:b/>
          <w:bCs/>
          <w:sz w:val="22"/>
          <w:szCs w:val="22"/>
        </w:rPr>
      </w:pPr>
      <w:r>
        <w:rPr>
          <w:rFonts w:ascii="Tahoma" w:hAnsi="Tahoma"/>
          <w:b/>
          <w:sz w:val="22"/>
        </w:rPr>
        <w:t>Information about locations</w:t>
      </w:r>
      <w:r>
        <w:rPr>
          <w:rFonts w:ascii="Tahoma" w:hAnsi="Tahoma" w:cs="Tahoma"/>
          <w:bCs/>
          <w:sz w:val="22"/>
          <w:szCs w:val="22"/>
        </w:rPr>
        <w:br/>
      </w:r>
      <w:r>
        <w:rPr>
          <w:rFonts w:ascii="Tahoma" w:hAnsi="Tahoma"/>
          <w:sz w:val="22"/>
        </w:rPr>
        <w:t>The convenient site directory is also really helpful: the app knows the addresses and contact details of all BITZER and Green Point service points as well as of all certified dealers and other distributors. Users can place a call directly from the app, can write an e</w:t>
      </w:r>
      <w:r w:rsidR="0023503D">
        <w:rPr>
          <w:rFonts w:ascii="Tahoma" w:hAnsi="Tahoma"/>
          <w:sz w:val="22"/>
        </w:rPr>
        <w:t>-</w:t>
      </w:r>
      <w:r>
        <w:rPr>
          <w:rFonts w:ascii="Tahoma" w:hAnsi="Tahoma"/>
          <w:sz w:val="22"/>
        </w:rPr>
        <w:t xml:space="preserve">mail and add the data to their address book. If the user has activated the location function, the app will sort the site information by subject groups and by the site’s distance from the user. The route-planning function will then show the shortest way to the required destination. Alternatively, customers can also manually access the contact details of the BITZER and Green Point sites as well as of the partners. </w:t>
      </w:r>
    </w:p>
    <w:p w14:paraId="62486A0C" w14:textId="77777777" w:rsidR="00893635" w:rsidRDefault="00893635" w:rsidP="0023371C">
      <w:pPr>
        <w:pStyle w:val="CC-berschrift"/>
        <w:spacing w:before="0" w:after="260" w:line="360" w:lineRule="auto"/>
        <w:rPr>
          <w:rFonts w:ascii="Tahoma" w:hAnsi="Tahoma"/>
          <w:b w:val="0"/>
          <w:color w:val="auto"/>
          <w:kern w:val="0"/>
          <w:sz w:val="22"/>
        </w:rPr>
      </w:pPr>
    </w:p>
    <w:p w14:paraId="450B18D2" w14:textId="2FA0BCC5" w:rsidR="00FE7021" w:rsidRDefault="00464763" w:rsidP="0023371C">
      <w:pPr>
        <w:pStyle w:val="CC-berschrift"/>
        <w:spacing w:before="0" w:after="260" w:line="360" w:lineRule="auto"/>
        <w:rPr>
          <w:rFonts w:ascii="Tahoma" w:hAnsi="Tahoma"/>
          <w:b w:val="0"/>
          <w:sz w:val="22"/>
        </w:rPr>
      </w:pPr>
      <w:r>
        <w:rPr>
          <w:rFonts w:ascii="Tahoma" w:hAnsi="Tahoma"/>
          <w:b w:val="0"/>
          <w:color w:val="auto"/>
          <w:kern w:val="0"/>
          <w:sz w:val="22"/>
        </w:rPr>
        <w:t xml:space="preserve">In future versions of the app, BITZER plans to integrate more functions. </w:t>
      </w:r>
      <w:r>
        <w:rPr>
          <w:rFonts w:ascii="Tahoma" w:hAnsi="Tahoma"/>
          <w:b w:val="0"/>
          <w:sz w:val="22"/>
        </w:rPr>
        <w:t>The app is free to download.</w:t>
      </w:r>
    </w:p>
    <w:p w14:paraId="17CD8CF6" w14:textId="77777777" w:rsidR="0009565F" w:rsidRPr="00E7429A" w:rsidRDefault="0009565F" w:rsidP="0023371C">
      <w:pPr>
        <w:pStyle w:val="CC-berschrift"/>
        <w:spacing w:before="0" w:after="260" w:line="360" w:lineRule="auto"/>
        <w:rPr>
          <w:rFonts w:ascii="Arial" w:hAnsi="Arial"/>
          <w:sz w:val="22"/>
        </w:rPr>
      </w:pPr>
    </w:p>
    <w:p w14:paraId="55C41225" w14:textId="77777777" w:rsidR="009A463D" w:rsidRPr="00E7429A" w:rsidRDefault="009A463D" w:rsidP="004E766F">
      <w:pPr>
        <w:spacing w:line="360" w:lineRule="auto"/>
        <w:jc w:val="center"/>
        <w:rPr>
          <w:rFonts w:ascii="Arial" w:hAnsi="Arial"/>
          <w:sz w:val="22"/>
        </w:rPr>
      </w:pPr>
      <w:r>
        <w:rPr>
          <w:rFonts w:ascii="Arial" w:hAnsi="Arial"/>
          <w:sz w:val="22"/>
        </w:rPr>
        <w:t>■</w:t>
      </w:r>
    </w:p>
    <w:p w14:paraId="5DF8F7D2" w14:textId="77777777" w:rsidR="00304F6B" w:rsidRPr="00E7429A" w:rsidRDefault="00304F6B" w:rsidP="00304F6B">
      <w:pPr>
        <w:spacing w:line="360" w:lineRule="auto"/>
        <w:rPr>
          <w:rFonts w:ascii="Tahoma" w:hAnsi="Tahoma"/>
          <w:sz w:val="22"/>
        </w:rPr>
      </w:pPr>
    </w:p>
    <w:p w14:paraId="33482016" w14:textId="77777777" w:rsidR="0052553E" w:rsidRPr="00E7429A" w:rsidRDefault="0052553E" w:rsidP="0052553E">
      <w:pPr>
        <w:spacing w:line="360" w:lineRule="auto"/>
        <w:rPr>
          <w:rFonts w:ascii="Tahoma" w:hAnsi="Tahoma"/>
          <w:sz w:val="20"/>
        </w:rPr>
      </w:pPr>
      <w:r>
        <w:rPr>
          <w:rFonts w:ascii="Tahoma" w:hAnsi="Tahoma"/>
          <w:sz w:val="20"/>
        </w:rPr>
        <w:t>The BITZER Group is the world’s largest independent manufacturer of refrigeration compressors. BITZER is represented across the globe through distribution companies and production facilities for reciprocating, screw and scroll compressors, heat exchangers and pressure vessels. In 2017, 3,500 employees generated sales of €740 million.</w:t>
      </w:r>
    </w:p>
    <w:p w14:paraId="7103BBF0" w14:textId="77777777" w:rsidR="004E766F" w:rsidRPr="00E7429A" w:rsidRDefault="004E766F" w:rsidP="003D0DBF">
      <w:pPr>
        <w:spacing w:line="360" w:lineRule="auto"/>
        <w:rPr>
          <w:rFonts w:ascii="Tahoma" w:hAnsi="Tahoma"/>
          <w:sz w:val="20"/>
        </w:rPr>
      </w:pPr>
    </w:p>
    <w:p w14:paraId="374DDF1F" w14:textId="77777777" w:rsidR="0052553E" w:rsidRPr="00E7429A" w:rsidRDefault="0052553E" w:rsidP="0052553E">
      <w:pPr>
        <w:spacing w:line="360" w:lineRule="auto"/>
        <w:rPr>
          <w:rFonts w:ascii="Tahoma" w:hAnsi="Tahoma"/>
          <w:b/>
          <w:sz w:val="20"/>
        </w:rPr>
      </w:pPr>
      <w:r>
        <w:rPr>
          <w:rFonts w:ascii="Tahoma" w:hAnsi="Tahoma"/>
          <w:b/>
          <w:sz w:val="20"/>
        </w:rPr>
        <w:t>Overview of images</w:t>
      </w:r>
      <w:bookmarkStart w:id="0" w:name="_GoBack"/>
      <w:bookmarkEnd w:id="0"/>
    </w:p>
    <w:p w14:paraId="417588B2" w14:textId="77777777" w:rsidR="0052553E" w:rsidRPr="00E7429A" w:rsidRDefault="0052553E" w:rsidP="0052553E">
      <w:pPr>
        <w:spacing w:line="360" w:lineRule="auto"/>
        <w:rPr>
          <w:rFonts w:ascii="Tahoma" w:hAnsi="Tahoma"/>
          <w:sz w:val="20"/>
        </w:rPr>
      </w:pPr>
      <w:r>
        <w:rPr>
          <w:rFonts w:ascii="Tahoma" w:hAnsi="Tahoma"/>
          <w:sz w:val="20"/>
        </w:rPr>
        <w:t>Images may only be used for editorial purposes. They can be used free of charge if the source is given – ‘Photo: BITZER’ – and a free copy of the publication is sent to us. Images may not be modified or altered, except to crop out the background surrounding the main subject.</w:t>
      </w:r>
    </w:p>
    <w:p w14:paraId="5509E5BC" w14:textId="77777777" w:rsidR="00353652" w:rsidRPr="00E7429A" w:rsidRDefault="00353652" w:rsidP="00384D48">
      <w:pPr>
        <w:spacing w:line="360" w:lineRule="auto"/>
        <w:rPr>
          <w:rFonts w:ascii="Tahoma" w:hAnsi="Tahoma"/>
          <w:sz w:val="20"/>
        </w:rPr>
      </w:pPr>
    </w:p>
    <w:p w14:paraId="77BF4BAA" w14:textId="77777777" w:rsidR="009D2A86" w:rsidRPr="00E7429A" w:rsidRDefault="009D2A86" w:rsidP="00384D48">
      <w:pPr>
        <w:spacing w:line="360" w:lineRule="auto"/>
        <w:rPr>
          <w:rFonts w:ascii="Tahoma" w:hAnsi="Tahoma"/>
          <w:sz w:val="20"/>
        </w:rPr>
      </w:pPr>
    </w:p>
    <w:p w14:paraId="00C6A7F5" w14:textId="34CFD62E" w:rsidR="00384D48" w:rsidRPr="00E7429A" w:rsidRDefault="00A87BA0" w:rsidP="00384D48">
      <w:pPr>
        <w:spacing w:line="360" w:lineRule="auto"/>
        <w:rPr>
          <w:rFonts w:ascii="Tahoma" w:hAnsi="Tahoma"/>
          <w:sz w:val="20"/>
          <w:szCs w:val="20"/>
        </w:rPr>
      </w:pPr>
      <w:r w:rsidRPr="00A87BA0">
        <w:rPr>
          <w:rFonts w:ascii="Tahoma" w:hAnsi="Tahoma"/>
          <w:noProof/>
          <w:sz w:val="20"/>
          <w:szCs w:val="20"/>
          <w:lang w:val="de-DE" w:eastAsia="zh-CN" w:bidi="ar-SA"/>
        </w:rPr>
        <w:drawing>
          <wp:inline distT="0" distB="0" distL="0" distR="0" wp14:anchorId="5058CE37" wp14:editId="3C56DF42">
            <wp:extent cx="4562475" cy="3571875"/>
            <wp:effectExtent l="0" t="0" r="9525" b="9525"/>
            <wp:docPr id="2" name="Grafik 2" descr="K:\mbd\PR\Public_Relations\Presse_2018\BITZER_INT\SPOT App\EN\BITZER_SPOT_A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bd\PR\Public_Relations\Presse_2018\BITZER_INT\SPOT App\EN\BITZER_SPOT_App.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605" t="12339" r="14781" b="11795"/>
                    <a:stretch/>
                  </pic:blipFill>
                  <pic:spPr bwMode="auto">
                    <a:xfrm>
                      <a:off x="0" y="0"/>
                      <a:ext cx="4563384" cy="3572587"/>
                    </a:xfrm>
                    <a:prstGeom prst="rect">
                      <a:avLst/>
                    </a:prstGeom>
                    <a:noFill/>
                    <a:ln>
                      <a:noFill/>
                    </a:ln>
                    <a:extLst>
                      <a:ext uri="{53640926-AAD7-44D8-BBD7-CCE9431645EC}">
                        <a14:shadowObscured xmlns:a14="http://schemas.microsoft.com/office/drawing/2010/main"/>
                      </a:ext>
                    </a:extLst>
                  </pic:spPr>
                </pic:pic>
              </a:graphicData>
            </a:graphic>
          </wp:inline>
        </w:drawing>
      </w:r>
    </w:p>
    <w:p w14:paraId="60260465" w14:textId="77777777" w:rsidR="009A463D" w:rsidRPr="00E7429A" w:rsidRDefault="009A463D" w:rsidP="00304F6B">
      <w:pPr>
        <w:rPr>
          <w:rFonts w:ascii="Tahoma" w:hAnsi="Tahoma"/>
          <w:sz w:val="20"/>
          <w:szCs w:val="20"/>
        </w:rPr>
      </w:pPr>
    </w:p>
    <w:p w14:paraId="2D837ED8" w14:textId="09D9E511" w:rsidR="00785C3B" w:rsidRPr="00E7429A" w:rsidRDefault="0052553E" w:rsidP="00BA6065">
      <w:pPr>
        <w:tabs>
          <w:tab w:val="left" w:pos="6804"/>
        </w:tabs>
        <w:spacing w:line="360" w:lineRule="auto"/>
        <w:rPr>
          <w:rFonts w:ascii="Tahoma" w:eastAsiaTheme="minorHAnsi" w:hAnsi="Tahoma" w:cstheme="minorBidi"/>
          <w:sz w:val="22"/>
          <w:szCs w:val="22"/>
        </w:rPr>
      </w:pPr>
      <w:r>
        <w:rPr>
          <w:rFonts w:ascii="Tahoma" w:eastAsiaTheme="minorHAnsi" w:hAnsi="Tahoma" w:cstheme="minorBidi"/>
          <w:sz w:val="22"/>
        </w:rPr>
        <w:t xml:space="preserve">Image: The free BITZER SPOT </w:t>
      </w:r>
      <w:r w:rsidR="00A87BA0">
        <w:rPr>
          <w:rFonts w:ascii="Tahoma" w:eastAsiaTheme="minorHAnsi" w:hAnsi="Tahoma" w:cstheme="minorBidi"/>
          <w:sz w:val="22"/>
        </w:rPr>
        <w:t>A</w:t>
      </w:r>
      <w:r>
        <w:rPr>
          <w:rFonts w:ascii="Tahoma" w:eastAsiaTheme="minorHAnsi" w:hAnsi="Tahoma" w:cstheme="minorBidi"/>
          <w:sz w:val="22"/>
        </w:rPr>
        <w:t>pp checks the authenticity of BITZER products</w:t>
      </w:r>
    </w:p>
    <w:sectPr w:rsidR="00785C3B" w:rsidRPr="00E7429A" w:rsidSect="00791ABF">
      <w:headerReference w:type="default" r:id="rId9"/>
      <w:pgSz w:w="11906" w:h="16838"/>
      <w:pgMar w:top="680" w:right="567" w:bottom="567" w:left="1304" w:header="850"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3CEF6" w16cid:durableId="1F0EE5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A8FBF" w14:textId="77777777" w:rsidR="003D5791" w:rsidRDefault="003D5791" w:rsidP="00791ABF">
      <w:r>
        <w:separator/>
      </w:r>
    </w:p>
  </w:endnote>
  <w:endnote w:type="continuationSeparator" w:id="0">
    <w:p w14:paraId="3B66B983" w14:textId="77777777" w:rsidR="003D5791" w:rsidRDefault="003D5791" w:rsidP="0079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FDiwa">
    <w:altName w:val="AFDiwa"/>
    <w:panose1 w:val="00000000000000000000"/>
    <w:charset w:val="00"/>
    <w:family w:val="modern"/>
    <w:notTrueType/>
    <w:pitch w:val="variable"/>
    <w:sig w:usb0="00000003" w:usb1="00000000" w:usb2="00000000" w:usb3="00000000" w:csb0="00000001" w:csb1="00000000"/>
  </w:font>
  <w:font w:name="Gotham Office">
    <w:altName w:val="Times New Roman"/>
    <w:charset w:val="00"/>
    <w:family w:val="auto"/>
    <w:pitch w:val="variable"/>
    <w:sig w:usb0="A00002FF" w:usb1="4000005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C38F0" w14:textId="77777777" w:rsidR="003D5791" w:rsidRDefault="003D5791" w:rsidP="00791ABF">
      <w:r>
        <w:separator/>
      </w:r>
    </w:p>
  </w:footnote>
  <w:footnote w:type="continuationSeparator" w:id="0">
    <w:p w14:paraId="395A3363" w14:textId="77777777" w:rsidR="003D5791" w:rsidRDefault="003D5791" w:rsidP="00791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2CEC3" w14:textId="3A6E2C28" w:rsidR="003D5791" w:rsidRDefault="003D5791" w:rsidP="00791ABF">
    <w:pPr>
      <w:pStyle w:val="Kopfzeile"/>
      <w:tabs>
        <w:tab w:val="left" w:pos="2377"/>
        <w:tab w:val="right" w:pos="10036"/>
      </w:tabs>
      <w:rPr>
        <w:rFonts w:ascii="Tahoma" w:hAnsi="Tahoma"/>
        <w:b/>
        <w:sz w:val="40"/>
      </w:rPr>
    </w:pPr>
    <w:r>
      <w:rPr>
        <w:rFonts w:ascii="Tahoma" w:hAnsi="Tahoma" w:cs="Tahoma"/>
        <w:b/>
        <w:noProof/>
        <w:sz w:val="40"/>
        <w:szCs w:val="40"/>
        <w:lang w:val="de-DE" w:eastAsia="zh-CN" w:bidi="ar-SA"/>
      </w:rPr>
      <w:drawing>
        <wp:anchor distT="0" distB="0" distL="114300" distR="114300" simplePos="0" relativeHeight="251659264" behindDoc="0" locked="0" layoutInCell="1" allowOverlap="1" wp14:anchorId="116B714A" wp14:editId="61E5CC1E">
          <wp:simplePos x="0" y="0"/>
          <wp:positionH relativeFrom="column">
            <wp:posOffset>4054511</wp:posOffset>
          </wp:positionH>
          <wp:positionV relativeFrom="paragraph">
            <wp:posOffset>-169449</wp:posOffset>
          </wp:positionV>
          <wp:extent cx="2318445" cy="64770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9850"/>
                  <a:stretch/>
                </pic:blipFill>
                <pic:spPr bwMode="auto">
                  <a:xfrm>
                    <a:off x="0" y="0"/>
                    <a:ext cx="2318445" cy="647700"/>
                  </a:xfrm>
                  <a:prstGeom prst="rect">
                    <a:avLst/>
                  </a:prstGeom>
                  <a:ln>
                    <a:noFill/>
                  </a:ln>
                  <a:extLst>
                    <a:ext uri="{53640926-AAD7-44D8-BBD7-CCE9431645EC}">
                      <a14:shadowObscured xmlns:a14="http://schemas.microsoft.com/office/drawing/2010/main"/>
                    </a:ext>
                  </a:extLst>
                </pic:spPr>
              </pic:pic>
            </a:graphicData>
          </a:graphic>
        </wp:anchor>
      </w:drawing>
    </w:r>
    <w:r w:rsidR="009F48F0">
      <w:rPr>
        <w:rFonts w:ascii="Tahoma" w:hAnsi="Tahoma"/>
        <w:b/>
        <w:sz w:val="40"/>
      </w:rPr>
      <w:t>Press information</w:t>
    </w:r>
  </w:p>
  <w:p w14:paraId="48B2DABE" w14:textId="77777777" w:rsidR="003D5791" w:rsidRPr="00791ABF" w:rsidRDefault="003D5791" w:rsidP="00791ABF">
    <w:pPr>
      <w:pStyle w:val="Kopfzeile"/>
      <w:tabs>
        <w:tab w:val="left" w:pos="2377"/>
        <w:tab w:val="right" w:pos="10036"/>
      </w:tabs>
      <w:rPr>
        <w:rFonts w:ascii="Tahoma" w:hAnsi="Tahoma" w:cs="Tahoma"/>
        <w:b/>
        <w:sz w:val="40"/>
        <w:szCs w:val="4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D58CC"/>
    <w:multiLevelType w:val="hybridMultilevel"/>
    <w:tmpl w:val="8D8E07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ABF"/>
    <w:rsid w:val="0000546F"/>
    <w:rsid w:val="00015BB8"/>
    <w:rsid w:val="00053BBC"/>
    <w:rsid w:val="00065FD9"/>
    <w:rsid w:val="00072362"/>
    <w:rsid w:val="000829B5"/>
    <w:rsid w:val="00082B2E"/>
    <w:rsid w:val="00087AC2"/>
    <w:rsid w:val="00090B50"/>
    <w:rsid w:val="0009565F"/>
    <w:rsid w:val="000B1768"/>
    <w:rsid w:val="000B7298"/>
    <w:rsid w:val="000D7EEF"/>
    <w:rsid w:val="0011461A"/>
    <w:rsid w:val="001203F7"/>
    <w:rsid w:val="00135E9E"/>
    <w:rsid w:val="0014561B"/>
    <w:rsid w:val="0019199E"/>
    <w:rsid w:val="001A3D36"/>
    <w:rsid w:val="001B2FAB"/>
    <w:rsid w:val="001C2EF1"/>
    <w:rsid w:val="001D23A2"/>
    <w:rsid w:val="001F2D41"/>
    <w:rsid w:val="001F4D01"/>
    <w:rsid w:val="002328A5"/>
    <w:rsid w:val="00232DE9"/>
    <w:rsid w:val="0023371C"/>
    <w:rsid w:val="0023503D"/>
    <w:rsid w:val="002540DB"/>
    <w:rsid w:val="00267312"/>
    <w:rsid w:val="002A1790"/>
    <w:rsid w:val="002A7B50"/>
    <w:rsid w:val="002B55D7"/>
    <w:rsid w:val="002D2891"/>
    <w:rsid w:val="002D4B3C"/>
    <w:rsid w:val="002E1E06"/>
    <w:rsid w:val="002E512C"/>
    <w:rsid w:val="00304F6B"/>
    <w:rsid w:val="003408E7"/>
    <w:rsid w:val="00353652"/>
    <w:rsid w:val="00357775"/>
    <w:rsid w:val="00366075"/>
    <w:rsid w:val="00382498"/>
    <w:rsid w:val="00384D48"/>
    <w:rsid w:val="00392425"/>
    <w:rsid w:val="003B0EFD"/>
    <w:rsid w:val="003D0DBF"/>
    <w:rsid w:val="003D5791"/>
    <w:rsid w:val="003D6D55"/>
    <w:rsid w:val="004144E5"/>
    <w:rsid w:val="00426DF7"/>
    <w:rsid w:val="00460CA4"/>
    <w:rsid w:val="00464763"/>
    <w:rsid w:val="00484C51"/>
    <w:rsid w:val="0049755C"/>
    <w:rsid w:val="004B35A0"/>
    <w:rsid w:val="004C4EC1"/>
    <w:rsid w:val="004E0E41"/>
    <w:rsid w:val="004E766F"/>
    <w:rsid w:val="00505160"/>
    <w:rsid w:val="00506402"/>
    <w:rsid w:val="00521545"/>
    <w:rsid w:val="0052553E"/>
    <w:rsid w:val="00541294"/>
    <w:rsid w:val="005833D4"/>
    <w:rsid w:val="00584CEE"/>
    <w:rsid w:val="00590153"/>
    <w:rsid w:val="0059112A"/>
    <w:rsid w:val="005970C5"/>
    <w:rsid w:val="005A0F5F"/>
    <w:rsid w:val="005B1090"/>
    <w:rsid w:val="005D0AC7"/>
    <w:rsid w:val="005E50E1"/>
    <w:rsid w:val="00632256"/>
    <w:rsid w:val="00647F11"/>
    <w:rsid w:val="00653A22"/>
    <w:rsid w:val="00676832"/>
    <w:rsid w:val="00685A1E"/>
    <w:rsid w:val="006B2AF0"/>
    <w:rsid w:val="00731873"/>
    <w:rsid w:val="0073303B"/>
    <w:rsid w:val="007362CD"/>
    <w:rsid w:val="00741A76"/>
    <w:rsid w:val="00753980"/>
    <w:rsid w:val="00765D16"/>
    <w:rsid w:val="00785C3B"/>
    <w:rsid w:val="00791ABF"/>
    <w:rsid w:val="007920BC"/>
    <w:rsid w:val="007A2485"/>
    <w:rsid w:val="007A7A12"/>
    <w:rsid w:val="008156F7"/>
    <w:rsid w:val="008310AA"/>
    <w:rsid w:val="00884F58"/>
    <w:rsid w:val="00893635"/>
    <w:rsid w:val="008A7DC4"/>
    <w:rsid w:val="008C46EF"/>
    <w:rsid w:val="008C5602"/>
    <w:rsid w:val="008E5B3F"/>
    <w:rsid w:val="008F2690"/>
    <w:rsid w:val="008F6997"/>
    <w:rsid w:val="009005B3"/>
    <w:rsid w:val="00900D2B"/>
    <w:rsid w:val="00915532"/>
    <w:rsid w:val="00917293"/>
    <w:rsid w:val="0097090C"/>
    <w:rsid w:val="00973169"/>
    <w:rsid w:val="009767D7"/>
    <w:rsid w:val="0098799C"/>
    <w:rsid w:val="009903CA"/>
    <w:rsid w:val="009A463D"/>
    <w:rsid w:val="009B6EEC"/>
    <w:rsid w:val="009D2A86"/>
    <w:rsid w:val="009E050F"/>
    <w:rsid w:val="009E4DBB"/>
    <w:rsid w:val="009F48F0"/>
    <w:rsid w:val="00A13EC5"/>
    <w:rsid w:val="00A16FB2"/>
    <w:rsid w:val="00A2327D"/>
    <w:rsid w:val="00A47F94"/>
    <w:rsid w:val="00A80137"/>
    <w:rsid w:val="00A82BD2"/>
    <w:rsid w:val="00A87BA0"/>
    <w:rsid w:val="00A977F5"/>
    <w:rsid w:val="00AA3D82"/>
    <w:rsid w:val="00AA640E"/>
    <w:rsid w:val="00AB5313"/>
    <w:rsid w:val="00AE0BD0"/>
    <w:rsid w:val="00AE39A5"/>
    <w:rsid w:val="00AE65EF"/>
    <w:rsid w:val="00B30AA4"/>
    <w:rsid w:val="00B34B4A"/>
    <w:rsid w:val="00B40195"/>
    <w:rsid w:val="00B473B9"/>
    <w:rsid w:val="00B66EE3"/>
    <w:rsid w:val="00B719E9"/>
    <w:rsid w:val="00B744D3"/>
    <w:rsid w:val="00B74B50"/>
    <w:rsid w:val="00B84232"/>
    <w:rsid w:val="00B85FCA"/>
    <w:rsid w:val="00BA6065"/>
    <w:rsid w:val="00BA6100"/>
    <w:rsid w:val="00BB3F31"/>
    <w:rsid w:val="00BC4AB1"/>
    <w:rsid w:val="00BE0028"/>
    <w:rsid w:val="00BE653B"/>
    <w:rsid w:val="00C00138"/>
    <w:rsid w:val="00C11EC2"/>
    <w:rsid w:val="00C17632"/>
    <w:rsid w:val="00C42733"/>
    <w:rsid w:val="00C5277F"/>
    <w:rsid w:val="00C72A8B"/>
    <w:rsid w:val="00C77E07"/>
    <w:rsid w:val="00C86332"/>
    <w:rsid w:val="00C922A3"/>
    <w:rsid w:val="00C97BD4"/>
    <w:rsid w:val="00CA7D29"/>
    <w:rsid w:val="00CB44C6"/>
    <w:rsid w:val="00CE7D52"/>
    <w:rsid w:val="00D32327"/>
    <w:rsid w:val="00D33BD0"/>
    <w:rsid w:val="00D423AF"/>
    <w:rsid w:val="00D8312F"/>
    <w:rsid w:val="00DC702B"/>
    <w:rsid w:val="00DF3487"/>
    <w:rsid w:val="00DF62E9"/>
    <w:rsid w:val="00E11A59"/>
    <w:rsid w:val="00E55C4E"/>
    <w:rsid w:val="00E71FE9"/>
    <w:rsid w:val="00E7429A"/>
    <w:rsid w:val="00E77659"/>
    <w:rsid w:val="00EA21F5"/>
    <w:rsid w:val="00EA6637"/>
    <w:rsid w:val="00EA76B5"/>
    <w:rsid w:val="00EB1FB4"/>
    <w:rsid w:val="00EE4192"/>
    <w:rsid w:val="00EE5176"/>
    <w:rsid w:val="00EE55EE"/>
    <w:rsid w:val="00EF2078"/>
    <w:rsid w:val="00EF254D"/>
    <w:rsid w:val="00F01E40"/>
    <w:rsid w:val="00F60CE3"/>
    <w:rsid w:val="00F666F6"/>
    <w:rsid w:val="00F83277"/>
    <w:rsid w:val="00FA546B"/>
    <w:rsid w:val="00FC05F4"/>
    <w:rsid w:val="00FD16B2"/>
    <w:rsid w:val="00FE12C7"/>
    <w:rsid w:val="00FE702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DE0F375"/>
  <w15:chartTrackingRefBased/>
  <w15:docId w15:val="{9AB9F845-0AA6-4FA3-92FB-36614915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04F6B"/>
    <w:pPr>
      <w:spacing w:after="0" w:line="240" w:lineRule="auto"/>
    </w:pPr>
    <w:rPr>
      <w:rFonts w:ascii="Times New Roman" w:eastAsia="MS Mincho" w:hAnsi="Times New Roman" w:cs="Times New Roman"/>
      <w:sz w:val="24"/>
      <w:szCs w:val="24"/>
    </w:rPr>
  </w:style>
  <w:style w:type="paragraph" w:styleId="berschrift1">
    <w:name w:val="heading 1"/>
    <w:basedOn w:val="Standard"/>
    <w:link w:val="berschrift1Zchn"/>
    <w:uiPriority w:val="9"/>
    <w:qFormat/>
    <w:rsid w:val="00685A1E"/>
    <w:pPr>
      <w:outlineLvl w:val="0"/>
    </w:pPr>
    <w:rPr>
      <w:rFonts w:ascii="Helvetica" w:eastAsia="Times New Roman" w:hAnsi="Helvetica" w:cs="Helvetica"/>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1ABF"/>
    <w:pPr>
      <w:tabs>
        <w:tab w:val="center" w:pos="4536"/>
        <w:tab w:val="right" w:pos="9072"/>
      </w:tabs>
    </w:pPr>
  </w:style>
  <w:style w:type="character" w:customStyle="1" w:styleId="KopfzeileZchn">
    <w:name w:val="Kopfzeile Zchn"/>
    <w:basedOn w:val="Absatz-Standardschriftart"/>
    <w:link w:val="Kopfzeile"/>
    <w:uiPriority w:val="99"/>
    <w:rsid w:val="00791ABF"/>
  </w:style>
  <w:style w:type="paragraph" w:styleId="Fuzeile">
    <w:name w:val="footer"/>
    <w:basedOn w:val="Standard"/>
    <w:link w:val="FuzeileZchn"/>
    <w:uiPriority w:val="99"/>
    <w:unhideWhenUsed/>
    <w:rsid w:val="00791ABF"/>
    <w:pPr>
      <w:tabs>
        <w:tab w:val="center" w:pos="4536"/>
        <w:tab w:val="right" w:pos="9072"/>
      </w:tabs>
    </w:pPr>
  </w:style>
  <w:style w:type="character" w:customStyle="1" w:styleId="FuzeileZchn">
    <w:name w:val="Fußzeile Zchn"/>
    <w:basedOn w:val="Absatz-Standardschriftart"/>
    <w:link w:val="Fuzeile"/>
    <w:uiPriority w:val="99"/>
    <w:rsid w:val="00791ABF"/>
  </w:style>
  <w:style w:type="paragraph" w:styleId="Listenabsatz">
    <w:name w:val="List Paragraph"/>
    <w:basedOn w:val="Standard"/>
    <w:uiPriority w:val="34"/>
    <w:qFormat/>
    <w:rsid w:val="00304F6B"/>
    <w:pPr>
      <w:spacing w:after="200" w:line="276" w:lineRule="auto"/>
      <w:ind w:left="720"/>
      <w:contextualSpacing/>
    </w:pPr>
    <w:rPr>
      <w:rFonts w:asciiTheme="minorHAnsi" w:eastAsiaTheme="minorHAnsi" w:hAnsiTheme="minorHAnsi" w:cstheme="minorBidi"/>
      <w:sz w:val="22"/>
      <w:szCs w:val="22"/>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04F6B"/>
    <w:rPr>
      <w:rFonts w:ascii="Times New Roman" w:eastAsia="MS Mincho" w:hAnsi="Times New Roman" w:cs="Times New Roman"/>
      <w:sz w:val="20"/>
      <w:szCs w:val="20"/>
      <w:lang w:eastAsia="en-GB" w:bidi="en-GB"/>
    </w:rPr>
  </w:style>
  <w:style w:type="paragraph" w:styleId="Sprechblasentext">
    <w:name w:val="Balloon Text"/>
    <w:basedOn w:val="Standard"/>
    <w:link w:val="SprechblasentextZchn"/>
    <w:uiPriority w:val="99"/>
    <w:semiHidden/>
    <w:unhideWhenUsed/>
    <w:rsid w:val="009A463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A463D"/>
    <w:rPr>
      <w:rFonts w:ascii="Segoe UI" w:eastAsia="MS Mincho" w:hAnsi="Segoe UI" w:cs="Segoe UI"/>
      <w:sz w:val="18"/>
      <w:szCs w:val="18"/>
      <w:lang w:val="en-GB" w:eastAsia="en-GB" w:bidi="en-GB"/>
    </w:rPr>
  </w:style>
  <w:style w:type="paragraph" w:styleId="Kommentarthema">
    <w:name w:val="annotation subject"/>
    <w:basedOn w:val="Kommentartext"/>
    <w:next w:val="Kommentartext"/>
    <w:link w:val="KommentarthemaZchn"/>
    <w:uiPriority w:val="99"/>
    <w:semiHidden/>
    <w:unhideWhenUsed/>
    <w:rsid w:val="004E766F"/>
    <w:rPr>
      <w:b/>
      <w:bCs/>
    </w:rPr>
  </w:style>
  <w:style w:type="character" w:customStyle="1" w:styleId="KommentarthemaZchn">
    <w:name w:val="Kommentarthema Zchn"/>
    <w:basedOn w:val="KommentartextZchn"/>
    <w:link w:val="Kommentarthema"/>
    <w:uiPriority w:val="99"/>
    <w:semiHidden/>
    <w:rsid w:val="004E766F"/>
    <w:rPr>
      <w:rFonts w:ascii="Times New Roman" w:eastAsia="MS Mincho" w:hAnsi="Times New Roman" w:cs="Times New Roman"/>
      <w:b/>
      <w:bCs/>
      <w:sz w:val="20"/>
      <w:szCs w:val="20"/>
      <w:lang w:val="en-GB" w:eastAsia="en-GB" w:bidi="en-GB"/>
    </w:rPr>
  </w:style>
  <w:style w:type="paragraph" w:styleId="StandardWeb">
    <w:name w:val="Normal (Web)"/>
    <w:basedOn w:val="Standard"/>
    <w:uiPriority w:val="99"/>
    <w:semiHidden/>
    <w:unhideWhenUsed/>
    <w:rsid w:val="00785C3B"/>
    <w:rPr>
      <w:rFonts w:eastAsia="Times New Roman"/>
    </w:rPr>
  </w:style>
  <w:style w:type="character" w:customStyle="1" w:styleId="berschrift1Zchn">
    <w:name w:val="Überschrift 1 Zchn"/>
    <w:basedOn w:val="Absatz-Standardschriftart"/>
    <w:link w:val="berschrift1"/>
    <w:uiPriority w:val="9"/>
    <w:rsid w:val="00685A1E"/>
    <w:rPr>
      <w:rFonts w:ascii="Helvetica" w:eastAsia="Times New Roman" w:hAnsi="Helvetica" w:cs="Helvetica"/>
      <w:kern w:val="36"/>
      <w:sz w:val="48"/>
      <w:szCs w:val="48"/>
    </w:rPr>
  </w:style>
  <w:style w:type="paragraph" w:customStyle="1" w:styleId="Default">
    <w:name w:val="Default"/>
    <w:rsid w:val="00AA640E"/>
    <w:pPr>
      <w:autoSpaceDE w:val="0"/>
      <w:autoSpaceDN w:val="0"/>
      <w:adjustRightInd w:val="0"/>
      <w:spacing w:after="0" w:line="240" w:lineRule="auto"/>
    </w:pPr>
    <w:rPr>
      <w:rFonts w:ascii="AFDiwa" w:eastAsiaTheme="minorHAnsi" w:hAnsi="AFDiwa" w:cs="AFDiwa"/>
      <w:color w:val="000000"/>
      <w:sz w:val="24"/>
      <w:szCs w:val="24"/>
    </w:rPr>
  </w:style>
  <w:style w:type="character" w:styleId="Hyperlink">
    <w:name w:val="Hyperlink"/>
    <w:basedOn w:val="Absatz-Standardschriftart"/>
    <w:uiPriority w:val="99"/>
    <w:unhideWhenUsed/>
    <w:rsid w:val="00521545"/>
    <w:rPr>
      <w:color w:val="0563C1" w:themeColor="hyperlink"/>
      <w:u w:val="single"/>
    </w:rPr>
  </w:style>
  <w:style w:type="character" w:customStyle="1" w:styleId="NichtaufgelsteErwhnung1">
    <w:name w:val="Nicht aufgelöste Erwähnung1"/>
    <w:basedOn w:val="Absatz-Standardschriftart"/>
    <w:uiPriority w:val="99"/>
    <w:semiHidden/>
    <w:unhideWhenUsed/>
    <w:rsid w:val="00521545"/>
    <w:rPr>
      <w:color w:val="605E5C"/>
      <w:shd w:val="clear" w:color="auto" w:fill="E1DFDD"/>
    </w:rPr>
  </w:style>
  <w:style w:type="paragraph" w:customStyle="1" w:styleId="CC-berschrift">
    <w:name w:val="CC-Überschrift"/>
    <w:basedOn w:val="berschrift1"/>
    <w:link w:val="CC-berschriftZchn"/>
    <w:autoRedefine/>
    <w:qFormat/>
    <w:rsid w:val="00464763"/>
    <w:pPr>
      <w:keepNext/>
      <w:keepLines/>
      <w:widowControl w:val="0"/>
      <w:spacing w:before="360" w:line="360" w:lineRule="exact"/>
      <w:contextualSpacing/>
    </w:pPr>
    <w:rPr>
      <w:rFonts w:ascii="Gotham Office" w:eastAsiaTheme="majorEastAsia" w:hAnsi="Gotham Office" w:cstheme="majorBidi"/>
      <w:b/>
      <w:bCs/>
      <w:color w:val="000000" w:themeColor="text1"/>
      <w:sz w:val="30"/>
      <w:szCs w:val="28"/>
    </w:rPr>
  </w:style>
  <w:style w:type="character" w:customStyle="1" w:styleId="CC-berschriftZchn">
    <w:name w:val="CC-Überschrift Zchn"/>
    <w:basedOn w:val="berschrift1Zchn"/>
    <w:link w:val="CC-berschrift"/>
    <w:rsid w:val="00464763"/>
    <w:rPr>
      <w:rFonts w:ascii="Gotham Office" w:eastAsiaTheme="majorEastAsia" w:hAnsi="Gotham Office" w:cstheme="majorBidi"/>
      <w:b/>
      <w:bCs/>
      <w:color w:val="000000" w:themeColor="text1"/>
      <w:kern w:val="36"/>
      <w:sz w:val="30"/>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92860">
      <w:bodyDiv w:val="1"/>
      <w:marLeft w:val="0"/>
      <w:marRight w:val="0"/>
      <w:marTop w:val="0"/>
      <w:marBottom w:val="0"/>
      <w:divBdr>
        <w:top w:val="none" w:sz="0" w:space="0" w:color="auto"/>
        <w:left w:val="none" w:sz="0" w:space="0" w:color="auto"/>
        <w:bottom w:val="none" w:sz="0" w:space="0" w:color="auto"/>
        <w:right w:val="none" w:sz="0" w:space="0" w:color="auto"/>
      </w:divBdr>
      <w:divsChild>
        <w:div w:id="707607233">
          <w:marLeft w:val="0"/>
          <w:marRight w:val="0"/>
          <w:marTop w:val="0"/>
          <w:marBottom w:val="0"/>
          <w:divBdr>
            <w:top w:val="none" w:sz="0" w:space="0" w:color="auto"/>
            <w:left w:val="none" w:sz="0" w:space="0" w:color="auto"/>
            <w:bottom w:val="none" w:sz="0" w:space="0" w:color="auto"/>
            <w:right w:val="none" w:sz="0" w:space="0" w:color="auto"/>
          </w:divBdr>
          <w:divsChild>
            <w:div w:id="1223325719">
              <w:marLeft w:val="0"/>
              <w:marRight w:val="0"/>
              <w:marTop w:val="0"/>
              <w:marBottom w:val="0"/>
              <w:divBdr>
                <w:top w:val="none" w:sz="0" w:space="0" w:color="auto"/>
                <w:left w:val="none" w:sz="0" w:space="0" w:color="auto"/>
                <w:bottom w:val="none" w:sz="0" w:space="0" w:color="auto"/>
                <w:right w:val="none" w:sz="0" w:space="0" w:color="auto"/>
              </w:divBdr>
              <w:divsChild>
                <w:div w:id="731271285">
                  <w:marLeft w:val="0"/>
                  <w:marRight w:val="0"/>
                  <w:marTop w:val="0"/>
                  <w:marBottom w:val="0"/>
                  <w:divBdr>
                    <w:top w:val="none" w:sz="0" w:space="0" w:color="auto"/>
                    <w:left w:val="none" w:sz="0" w:space="0" w:color="auto"/>
                    <w:bottom w:val="none" w:sz="0" w:space="0" w:color="auto"/>
                    <w:right w:val="none" w:sz="0" w:space="0" w:color="auto"/>
                  </w:divBdr>
                  <w:divsChild>
                    <w:div w:id="1595938185">
                      <w:marLeft w:val="0"/>
                      <w:marRight w:val="0"/>
                      <w:marTop w:val="0"/>
                      <w:marBottom w:val="0"/>
                      <w:divBdr>
                        <w:top w:val="none" w:sz="0" w:space="0" w:color="auto"/>
                        <w:left w:val="none" w:sz="0" w:space="0" w:color="auto"/>
                        <w:bottom w:val="none" w:sz="0" w:space="0" w:color="auto"/>
                        <w:right w:val="none" w:sz="0" w:space="0" w:color="auto"/>
                      </w:divBdr>
                      <w:divsChild>
                        <w:div w:id="1706248450">
                          <w:marLeft w:val="0"/>
                          <w:marRight w:val="0"/>
                          <w:marTop w:val="0"/>
                          <w:marBottom w:val="0"/>
                          <w:divBdr>
                            <w:top w:val="none" w:sz="0" w:space="0" w:color="auto"/>
                            <w:left w:val="none" w:sz="0" w:space="0" w:color="auto"/>
                            <w:bottom w:val="none" w:sz="0" w:space="0" w:color="auto"/>
                            <w:right w:val="none" w:sz="0" w:space="0" w:color="auto"/>
                          </w:divBdr>
                          <w:divsChild>
                            <w:div w:id="678122074">
                              <w:marLeft w:val="0"/>
                              <w:marRight w:val="0"/>
                              <w:marTop w:val="0"/>
                              <w:marBottom w:val="0"/>
                              <w:divBdr>
                                <w:top w:val="none" w:sz="0" w:space="0" w:color="auto"/>
                                <w:left w:val="none" w:sz="0" w:space="0" w:color="auto"/>
                                <w:bottom w:val="none" w:sz="0" w:space="0" w:color="auto"/>
                                <w:right w:val="none" w:sz="0" w:space="0" w:color="auto"/>
                              </w:divBdr>
                              <w:divsChild>
                                <w:div w:id="1450274948">
                                  <w:marLeft w:val="0"/>
                                  <w:marRight w:val="0"/>
                                  <w:marTop w:val="0"/>
                                  <w:marBottom w:val="0"/>
                                  <w:divBdr>
                                    <w:top w:val="none" w:sz="0" w:space="0" w:color="auto"/>
                                    <w:left w:val="none" w:sz="0" w:space="0" w:color="auto"/>
                                    <w:bottom w:val="none" w:sz="0" w:space="0" w:color="auto"/>
                                    <w:right w:val="none" w:sz="0" w:space="0" w:color="auto"/>
                                  </w:divBdr>
                                  <w:divsChild>
                                    <w:div w:id="285432991">
                                      <w:marLeft w:val="0"/>
                                      <w:marRight w:val="0"/>
                                      <w:marTop w:val="0"/>
                                      <w:marBottom w:val="0"/>
                                      <w:divBdr>
                                        <w:top w:val="none" w:sz="0" w:space="0" w:color="auto"/>
                                        <w:left w:val="none" w:sz="0" w:space="0" w:color="auto"/>
                                        <w:bottom w:val="none" w:sz="0" w:space="0" w:color="auto"/>
                                        <w:right w:val="none" w:sz="0" w:space="0" w:color="auto"/>
                                      </w:divBdr>
                                      <w:divsChild>
                                        <w:div w:id="773015791">
                                          <w:marLeft w:val="0"/>
                                          <w:marRight w:val="0"/>
                                          <w:marTop w:val="0"/>
                                          <w:marBottom w:val="0"/>
                                          <w:divBdr>
                                            <w:top w:val="none" w:sz="0" w:space="0" w:color="auto"/>
                                            <w:left w:val="none" w:sz="0" w:space="0" w:color="auto"/>
                                            <w:bottom w:val="none" w:sz="0" w:space="0" w:color="auto"/>
                                            <w:right w:val="none" w:sz="0" w:space="0" w:color="auto"/>
                                          </w:divBdr>
                                          <w:divsChild>
                                            <w:div w:id="1448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9153626">
      <w:bodyDiv w:val="1"/>
      <w:marLeft w:val="0"/>
      <w:marRight w:val="0"/>
      <w:marTop w:val="0"/>
      <w:marBottom w:val="0"/>
      <w:divBdr>
        <w:top w:val="none" w:sz="0" w:space="0" w:color="auto"/>
        <w:left w:val="none" w:sz="0" w:space="0" w:color="auto"/>
        <w:bottom w:val="none" w:sz="0" w:space="0" w:color="auto"/>
        <w:right w:val="none" w:sz="0" w:space="0" w:color="auto"/>
      </w:divBdr>
    </w:div>
    <w:div w:id="933054078">
      <w:bodyDiv w:val="1"/>
      <w:marLeft w:val="0"/>
      <w:marRight w:val="0"/>
      <w:marTop w:val="0"/>
      <w:marBottom w:val="0"/>
      <w:divBdr>
        <w:top w:val="none" w:sz="0" w:space="0" w:color="auto"/>
        <w:left w:val="none" w:sz="0" w:space="0" w:color="auto"/>
        <w:bottom w:val="none" w:sz="0" w:space="0" w:color="auto"/>
        <w:right w:val="none" w:sz="0" w:space="0" w:color="auto"/>
      </w:divBdr>
    </w:div>
    <w:div w:id="956329737">
      <w:bodyDiv w:val="1"/>
      <w:marLeft w:val="0"/>
      <w:marRight w:val="0"/>
      <w:marTop w:val="0"/>
      <w:marBottom w:val="0"/>
      <w:divBdr>
        <w:top w:val="none" w:sz="0" w:space="0" w:color="auto"/>
        <w:left w:val="none" w:sz="0" w:space="0" w:color="auto"/>
        <w:bottom w:val="none" w:sz="0" w:space="0" w:color="auto"/>
        <w:right w:val="none" w:sz="0" w:space="0" w:color="auto"/>
      </w:divBdr>
    </w:div>
    <w:div w:id="1748071735">
      <w:bodyDiv w:val="1"/>
      <w:marLeft w:val="0"/>
      <w:marRight w:val="0"/>
      <w:marTop w:val="0"/>
      <w:marBottom w:val="0"/>
      <w:divBdr>
        <w:top w:val="none" w:sz="0" w:space="0" w:color="auto"/>
        <w:left w:val="none" w:sz="0" w:space="0" w:color="auto"/>
        <w:bottom w:val="none" w:sz="0" w:space="0" w:color="auto"/>
        <w:right w:val="none" w:sz="0" w:space="0" w:color="auto"/>
      </w:divBdr>
      <w:divsChild>
        <w:div w:id="1332947236">
          <w:marLeft w:val="0"/>
          <w:marRight w:val="0"/>
          <w:marTop w:val="0"/>
          <w:marBottom w:val="0"/>
          <w:divBdr>
            <w:top w:val="none" w:sz="0" w:space="0" w:color="auto"/>
            <w:left w:val="none" w:sz="0" w:space="0" w:color="auto"/>
            <w:bottom w:val="none" w:sz="0" w:space="0" w:color="auto"/>
            <w:right w:val="none" w:sz="0" w:space="0" w:color="auto"/>
          </w:divBdr>
          <w:divsChild>
            <w:div w:id="407389201">
              <w:marLeft w:val="0"/>
              <w:marRight w:val="0"/>
              <w:marTop w:val="0"/>
              <w:marBottom w:val="0"/>
              <w:divBdr>
                <w:top w:val="none" w:sz="0" w:space="0" w:color="auto"/>
                <w:left w:val="none" w:sz="0" w:space="0" w:color="auto"/>
                <w:bottom w:val="none" w:sz="0" w:space="0" w:color="auto"/>
                <w:right w:val="none" w:sz="0" w:space="0" w:color="auto"/>
              </w:divBdr>
              <w:divsChild>
                <w:div w:id="1074665568">
                  <w:marLeft w:val="0"/>
                  <w:marRight w:val="0"/>
                  <w:marTop w:val="0"/>
                  <w:marBottom w:val="0"/>
                  <w:divBdr>
                    <w:top w:val="none" w:sz="0" w:space="0" w:color="auto"/>
                    <w:left w:val="none" w:sz="0" w:space="0" w:color="auto"/>
                    <w:bottom w:val="none" w:sz="0" w:space="0" w:color="auto"/>
                    <w:right w:val="none" w:sz="0" w:space="0" w:color="auto"/>
                  </w:divBdr>
                  <w:divsChild>
                    <w:div w:id="2107069331">
                      <w:marLeft w:val="0"/>
                      <w:marRight w:val="0"/>
                      <w:marTop w:val="0"/>
                      <w:marBottom w:val="0"/>
                      <w:divBdr>
                        <w:top w:val="none" w:sz="0" w:space="0" w:color="auto"/>
                        <w:left w:val="none" w:sz="0" w:space="0" w:color="auto"/>
                        <w:bottom w:val="none" w:sz="0" w:space="0" w:color="auto"/>
                        <w:right w:val="none" w:sz="0" w:space="0" w:color="auto"/>
                      </w:divBdr>
                      <w:divsChild>
                        <w:div w:id="884294657">
                          <w:marLeft w:val="0"/>
                          <w:marRight w:val="0"/>
                          <w:marTop w:val="0"/>
                          <w:marBottom w:val="0"/>
                          <w:divBdr>
                            <w:top w:val="none" w:sz="0" w:space="0" w:color="auto"/>
                            <w:left w:val="none" w:sz="0" w:space="0" w:color="auto"/>
                            <w:bottom w:val="none" w:sz="0" w:space="0" w:color="auto"/>
                            <w:right w:val="none" w:sz="0" w:space="0" w:color="auto"/>
                          </w:divBdr>
                          <w:divsChild>
                            <w:div w:id="1815875806">
                              <w:marLeft w:val="0"/>
                              <w:marRight w:val="0"/>
                              <w:marTop w:val="0"/>
                              <w:marBottom w:val="0"/>
                              <w:divBdr>
                                <w:top w:val="none" w:sz="0" w:space="0" w:color="auto"/>
                                <w:left w:val="none" w:sz="0" w:space="0" w:color="auto"/>
                                <w:bottom w:val="none" w:sz="0" w:space="0" w:color="auto"/>
                                <w:right w:val="none" w:sz="0" w:space="0" w:color="auto"/>
                              </w:divBdr>
                              <w:divsChild>
                                <w:div w:id="49068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4494AB2</Template>
  <TotalTime>0</TotalTime>
  <Pages>2</Pages>
  <Words>398</Words>
  <Characters>2512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BITZER SE</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Koch, Janina</dc:creator>
  <cp:keywords/>
  <dc:description/>
  <cp:lastModifiedBy>Ungar, Agnes</cp:lastModifiedBy>
  <cp:revision>65</cp:revision>
  <cp:lastPrinted>2018-09-07T07:52:00Z</cp:lastPrinted>
  <dcterms:created xsi:type="dcterms:W3CDTF">2018-05-09T09:21:00Z</dcterms:created>
  <dcterms:modified xsi:type="dcterms:W3CDTF">2018-09-10T06:24:00Z</dcterms:modified>
</cp:coreProperties>
</file>