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E18017" w14:textId="77777777" w:rsidR="003F79BB" w:rsidRDefault="003F79BB" w:rsidP="00CA3BFA">
      <w:pPr>
        <w:framePr w:w="3340" w:h="1366" w:hRule="exact" w:hSpace="181" w:wrap="around" w:vAnchor="page" w:hAnchor="page" w:x="7536" w:y="2048" w:anchorLock="1"/>
        <w:tabs>
          <w:tab w:val="left" w:pos="142"/>
          <w:tab w:val="left" w:pos="426"/>
        </w:tabs>
        <w:rPr>
          <w:rFonts w:ascii="Tahoma" w:hAnsi="Tahoma" w:cs="Tahoma"/>
          <w:b/>
          <w:sz w:val="16"/>
        </w:rPr>
      </w:pPr>
      <w:bookmarkStart w:id="0" w:name="_Hlk169870612"/>
      <w:bookmarkEnd w:id="0"/>
    </w:p>
    <w:sdt>
      <w:sdtPr>
        <w:rPr>
          <w:rFonts w:ascii="Tahoma" w:hAnsi="Tahoma" w:cs="Tahoma"/>
          <w:b/>
          <w:sz w:val="16"/>
        </w:rPr>
        <w:id w:val="-1857033747"/>
        <w:lock w:val="sdtContentLocked"/>
        <w:placeholder>
          <w:docPart w:val="DefaultPlaceholder_-1854013440"/>
        </w:placeholder>
        <w:group/>
      </w:sdtPr>
      <w:sdtEndPr>
        <w:rPr>
          <w:b w:val="0"/>
        </w:rPr>
      </w:sdtEndPr>
      <w:sdtContent>
        <w:p w14:paraId="68EC85B2" w14:textId="68E957FD" w:rsidR="00E00478" w:rsidRPr="00CC7DDA" w:rsidRDefault="00E00478" w:rsidP="00CA3BFA">
          <w:pPr>
            <w:framePr w:w="3340" w:h="1366" w:hRule="exact" w:hSpace="181" w:wrap="around" w:vAnchor="page" w:hAnchor="page" w:x="7536" w:y="2048" w:anchorLock="1"/>
            <w:tabs>
              <w:tab w:val="left" w:pos="142"/>
              <w:tab w:val="left" w:pos="426"/>
            </w:tabs>
            <w:rPr>
              <w:rFonts w:ascii="Tahoma" w:hAnsi="Tahoma" w:cs="Tahoma"/>
              <w:b/>
              <w:sz w:val="16"/>
            </w:rPr>
          </w:pPr>
          <w:r w:rsidRPr="00CC7DDA">
            <w:rPr>
              <w:rFonts w:ascii="Tahoma" w:hAnsi="Tahoma" w:cs="Tahoma"/>
              <w:b/>
              <w:sz w:val="16"/>
            </w:rPr>
            <w:t xml:space="preserve">BITZER </w:t>
          </w:r>
          <w:r>
            <w:rPr>
              <w:rFonts w:ascii="Tahoma" w:hAnsi="Tahoma" w:cs="Tahoma"/>
              <w:b/>
              <w:sz w:val="16"/>
            </w:rPr>
            <w:t>SE</w:t>
          </w:r>
        </w:p>
        <w:p w14:paraId="54D1E2BE" w14:textId="77777777" w:rsidR="00E00478" w:rsidRPr="00FF34A4" w:rsidRDefault="00E00478" w:rsidP="00CA3BFA">
          <w:pPr>
            <w:framePr w:w="3340" w:h="1366" w:hRule="exact" w:hSpace="181" w:wrap="around" w:vAnchor="page" w:hAnchor="page" w:x="7536" w:y="2048" w:anchorLock="1"/>
            <w:tabs>
              <w:tab w:val="left" w:pos="142"/>
              <w:tab w:val="left" w:pos="426"/>
            </w:tabs>
            <w:rPr>
              <w:rFonts w:ascii="Tahoma" w:hAnsi="Tahoma" w:cs="Tahoma"/>
              <w:sz w:val="16"/>
            </w:rPr>
          </w:pPr>
          <w:r w:rsidRPr="00FF34A4">
            <w:rPr>
              <w:rFonts w:ascii="Tahoma" w:hAnsi="Tahoma" w:cs="Tahoma"/>
              <w:sz w:val="16"/>
            </w:rPr>
            <w:t>Peter-Schaufler-Platz 1</w:t>
          </w:r>
        </w:p>
        <w:p w14:paraId="12F46E24" w14:textId="77777777" w:rsidR="00E00478" w:rsidRPr="007209B4" w:rsidRDefault="00E00478" w:rsidP="00CA3BFA">
          <w:pPr>
            <w:framePr w:w="3340" w:h="1366" w:hRule="exact" w:hSpace="181" w:wrap="around" w:vAnchor="page" w:hAnchor="page" w:x="7536" w:y="2048" w:anchorLock="1"/>
            <w:tabs>
              <w:tab w:val="left" w:pos="426"/>
            </w:tabs>
            <w:rPr>
              <w:rFonts w:ascii="Tahoma" w:hAnsi="Tahoma" w:cs="Tahoma"/>
              <w:sz w:val="16"/>
            </w:rPr>
          </w:pPr>
          <w:r w:rsidRPr="007209B4">
            <w:rPr>
              <w:rFonts w:ascii="Tahoma" w:hAnsi="Tahoma" w:cs="Tahoma"/>
              <w:sz w:val="16"/>
            </w:rPr>
            <w:t>71065 Sindelfingen // Germany</w:t>
          </w:r>
        </w:p>
        <w:p w14:paraId="463209C2" w14:textId="77777777" w:rsidR="00E00478"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Tel</w:t>
          </w:r>
          <w:r w:rsidRPr="007209B4">
            <w:rPr>
              <w:rFonts w:ascii="Tahoma" w:hAnsi="Tahoma" w:cs="Tahoma"/>
              <w:sz w:val="16"/>
            </w:rPr>
            <w:tab/>
            <w:t>+49 7031 932-0</w:t>
          </w:r>
        </w:p>
        <w:p w14:paraId="08AD378A" w14:textId="77777777" w:rsidR="006E3652" w:rsidRPr="007209B4" w:rsidRDefault="00E00478" w:rsidP="00CA3BFA">
          <w:pPr>
            <w:framePr w:w="3340" w:h="1366" w:hRule="exact" w:hSpace="181" w:wrap="around" w:vAnchor="page" w:hAnchor="page" w:x="7536" w:y="2048" w:anchorLock="1"/>
            <w:tabs>
              <w:tab w:val="left" w:pos="284"/>
            </w:tabs>
            <w:rPr>
              <w:rFonts w:ascii="Tahoma" w:hAnsi="Tahoma" w:cs="Tahoma"/>
              <w:sz w:val="16"/>
            </w:rPr>
          </w:pPr>
          <w:r w:rsidRPr="007209B4">
            <w:rPr>
              <w:rFonts w:ascii="Tahoma" w:hAnsi="Tahoma" w:cs="Tahoma"/>
              <w:sz w:val="16"/>
            </w:rPr>
            <w:t>Fax</w:t>
          </w:r>
          <w:r w:rsidRPr="007209B4">
            <w:rPr>
              <w:rFonts w:ascii="Tahoma" w:hAnsi="Tahoma" w:cs="Tahoma"/>
              <w:sz w:val="16"/>
            </w:rPr>
            <w:tab/>
            <w:t>+49 7031 932-1</w:t>
          </w:r>
          <w:r w:rsidR="00B26433">
            <w:rPr>
              <w:rFonts w:ascii="Tahoma" w:hAnsi="Tahoma" w:cs="Tahoma"/>
              <w:sz w:val="16"/>
            </w:rPr>
            <w:t>47</w:t>
          </w:r>
        </w:p>
        <w:p w14:paraId="7838575C" w14:textId="3C3476F2" w:rsidR="006E3652" w:rsidRPr="00891190" w:rsidRDefault="006E3652" w:rsidP="00CA3BFA">
          <w:pPr>
            <w:framePr w:w="3340" w:h="1366" w:hRule="exact" w:hSpace="181" w:wrap="around" w:vAnchor="page" w:hAnchor="page" w:x="7536" w:y="2048" w:anchorLock="1"/>
            <w:tabs>
              <w:tab w:val="left" w:pos="426"/>
            </w:tabs>
            <w:rPr>
              <w:rFonts w:ascii="Tahoma" w:hAnsi="Tahoma" w:cs="Tahoma"/>
            </w:rPr>
          </w:pPr>
          <w:r w:rsidRPr="00B26433">
            <w:rPr>
              <w:rFonts w:ascii="Tahoma" w:hAnsi="Tahoma" w:cs="Tahoma"/>
              <w:sz w:val="16"/>
            </w:rPr>
            <w:t>bitzer@bitzer.de</w:t>
          </w:r>
          <w:r w:rsidRPr="00B26433">
            <w:rPr>
              <w:rFonts w:ascii="Tahoma" w:hAnsi="Tahoma" w:cs="Tahoma"/>
              <w:sz w:val="16"/>
              <w:szCs w:val="16"/>
            </w:rPr>
            <w:t xml:space="preserve"> // </w:t>
          </w:r>
          <w:r w:rsidRPr="00B26433">
            <w:rPr>
              <w:rFonts w:ascii="Tahoma" w:hAnsi="Tahoma" w:cs="Tahoma"/>
              <w:sz w:val="16"/>
            </w:rPr>
            <w:t>www.bitzer.de</w:t>
          </w:r>
        </w:p>
      </w:sdtContent>
    </w:sdt>
    <w:sdt>
      <w:sdtPr>
        <w:rPr>
          <w:rFonts w:ascii="Tahoma" w:hAnsi="Tahoma" w:cs="Tahoma"/>
          <w:sz w:val="22"/>
          <w:szCs w:val="22"/>
        </w:rPr>
        <w:id w:val="230359698"/>
        <w:lock w:val="contentLocked"/>
        <w:placeholder>
          <w:docPart w:val="DefaultPlaceholder_-1854013440"/>
        </w:placeholder>
        <w:group/>
      </w:sdtPr>
      <w:sdtEndPr/>
      <w:sdtContent>
        <w:sdt>
          <w:sdtPr>
            <w:rPr>
              <w:rFonts w:ascii="Tahoma" w:hAnsi="Tahoma" w:cs="Tahoma"/>
              <w:sz w:val="22"/>
              <w:szCs w:val="22"/>
            </w:rPr>
            <w:id w:val="-1481069674"/>
            <w:lock w:val="sdtContentLocked"/>
            <w:placeholder>
              <w:docPart w:val="DefaultPlaceholder_-1854013440"/>
            </w:placeholder>
            <w:group/>
          </w:sdtPr>
          <w:sdtEndPr/>
          <w:sdtContent>
            <w:p w14:paraId="247C6766" w14:textId="77777777" w:rsidR="00E63021" w:rsidRPr="00B26433" w:rsidRDefault="00E63021" w:rsidP="00E63021">
              <w:pPr>
                <w:rPr>
                  <w:rFonts w:ascii="Tahoma" w:hAnsi="Tahoma" w:cs="Tahoma"/>
                  <w:sz w:val="22"/>
                  <w:szCs w:val="22"/>
                </w:rPr>
              </w:pPr>
            </w:p>
            <w:p w14:paraId="53977B03" w14:textId="77777777" w:rsidR="00E63021" w:rsidRPr="00B26433" w:rsidRDefault="00E63021" w:rsidP="00E63021">
              <w:pPr>
                <w:rPr>
                  <w:rFonts w:ascii="Tahoma" w:hAnsi="Tahoma" w:cs="Tahoma"/>
                  <w:sz w:val="22"/>
                  <w:szCs w:val="22"/>
                </w:rPr>
              </w:pPr>
            </w:p>
            <w:p w14:paraId="7556FC73" w14:textId="77777777" w:rsidR="00E63021" w:rsidRPr="00B26433" w:rsidRDefault="00E63021" w:rsidP="00E63021">
              <w:pPr>
                <w:rPr>
                  <w:rFonts w:ascii="Tahoma" w:hAnsi="Tahoma" w:cs="Tahoma"/>
                  <w:sz w:val="22"/>
                  <w:szCs w:val="22"/>
                </w:rPr>
              </w:pPr>
            </w:p>
            <w:p w14:paraId="251FCA3B" w14:textId="77777777" w:rsidR="00E63021" w:rsidRPr="00B26433" w:rsidRDefault="00E63021" w:rsidP="00E63021">
              <w:pPr>
                <w:rPr>
                  <w:rFonts w:ascii="Tahoma" w:hAnsi="Tahoma" w:cs="Tahoma"/>
                  <w:sz w:val="22"/>
                  <w:szCs w:val="22"/>
                </w:rPr>
              </w:pPr>
            </w:p>
            <w:tbl>
              <w:tblPr>
                <w:tblW w:w="0" w:type="auto"/>
                <w:tblInd w:w="106" w:type="dxa"/>
                <w:tblCellMar>
                  <w:left w:w="0" w:type="dxa"/>
                  <w:right w:w="70" w:type="dxa"/>
                </w:tblCellMar>
                <w:tblLook w:val="0000" w:firstRow="0" w:lastRow="0" w:firstColumn="0" w:lastColumn="0" w:noHBand="0" w:noVBand="0"/>
              </w:tblPr>
              <w:tblGrid>
                <w:gridCol w:w="1185"/>
                <w:gridCol w:w="96"/>
                <w:gridCol w:w="785"/>
                <w:gridCol w:w="1684"/>
              </w:tblGrid>
              <w:tr w:rsidR="00E00478" w:rsidRPr="00D33B49" w14:paraId="4D210B7A" w14:textId="77777777" w:rsidTr="00E00478">
                <w:trPr>
                  <w:trHeight w:val="182"/>
                </w:trPr>
                <w:tc>
                  <w:tcPr>
                    <w:tcW w:w="2066" w:type="dxa"/>
                    <w:gridSpan w:val="3"/>
                    <w:shd w:val="clear" w:color="auto" w:fill="auto"/>
                  </w:tcPr>
                  <w:p w14:paraId="4F9DF60D"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bookmarkStart w:id="1" w:name="Adresse"/>
                    <w:bookmarkStart w:id="2" w:name="Text1"/>
                    <w:bookmarkEnd w:id="1"/>
                    <w:bookmarkEnd w:id="2"/>
                    <w:r w:rsidRPr="00D33B49">
                      <w:rPr>
                        <w:rFonts w:ascii="Tahoma" w:hAnsi="Tahoma" w:cs="Tahoma"/>
                        <w:sz w:val="16"/>
                        <w:szCs w:val="16"/>
                      </w:rPr>
                      <w:t>Unser Zeichen</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Our Ref.</w:t>
                    </w:r>
                  </w:p>
                </w:tc>
                <w:tc>
                  <w:tcPr>
                    <w:tcW w:w="1684" w:type="dxa"/>
                    <w:shd w:val="clear" w:color="auto" w:fill="auto"/>
                  </w:tcPr>
                  <w:p w14:paraId="79F52889"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3" w:name="UnserZeichen"/>
                    <w:bookmarkEnd w:id="3"/>
                  </w:p>
                </w:tc>
              </w:tr>
              <w:tr w:rsidR="00E00478" w:rsidRPr="00D33B49" w14:paraId="3CDDFACF" w14:textId="77777777" w:rsidTr="00E00478">
                <w:trPr>
                  <w:trHeight w:val="113"/>
                </w:trPr>
                <w:tc>
                  <w:tcPr>
                    <w:tcW w:w="3750" w:type="dxa"/>
                    <w:gridSpan w:val="4"/>
                    <w:shd w:val="clear" w:color="auto" w:fill="auto"/>
                  </w:tcPr>
                  <w:p w14:paraId="07C21CF8" w14:textId="77777777" w:rsidR="00E00478" w:rsidRPr="00D33B49" w:rsidRDefault="00E00478" w:rsidP="00CA3BFA">
                    <w:pPr>
                      <w:framePr w:w="3856" w:h="1372" w:hRule="exact" w:hSpace="181" w:wrap="around" w:vAnchor="page" w:hAnchor="page" w:x="7429" w:y="3584" w:anchorLock="1"/>
                      <w:rPr>
                        <w:rFonts w:ascii="Tahoma" w:hAnsi="Tahoma" w:cs="Tahoma"/>
                        <w:sz w:val="12"/>
                        <w:szCs w:val="12"/>
                      </w:rPr>
                    </w:pPr>
                  </w:p>
                </w:tc>
              </w:tr>
              <w:tr w:rsidR="00E00478" w:rsidRPr="00D33B49" w14:paraId="2F99C382" w14:textId="77777777" w:rsidTr="00E00478">
                <w:trPr>
                  <w:trHeight w:val="181"/>
                </w:trPr>
                <w:tc>
                  <w:tcPr>
                    <w:tcW w:w="1281" w:type="dxa"/>
                    <w:gridSpan w:val="2"/>
                    <w:shd w:val="clear" w:color="auto" w:fill="auto"/>
                  </w:tcPr>
                  <w:p w14:paraId="2AEBB131"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Abs.</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Sender</w:t>
                    </w:r>
                  </w:p>
                </w:tc>
                <w:tc>
                  <w:tcPr>
                    <w:tcW w:w="2469" w:type="dxa"/>
                    <w:gridSpan w:val="2"/>
                    <w:shd w:val="clear" w:color="auto" w:fill="auto"/>
                  </w:tcPr>
                  <w:p w14:paraId="2EF95E0C" w14:textId="37C24B23" w:rsidR="006C1515" w:rsidRPr="00D33B49" w:rsidRDefault="006C1515" w:rsidP="006C1515">
                    <w:pPr>
                      <w:framePr w:w="3856" w:h="1372" w:hRule="exact" w:hSpace="181" w:wrap="around" w:vAnchor="page" w:hAnchor="page" w:x="7429" w:y="3584" w:anchorLock="1"/>
                      <w:jc w:val="right"/>
                      <w:rPr>
                        <w:rFonts w:ascii="Tahoma" w:hAnsi="Tahoma" w:cs="Tahoma"/>
                        <w:sz w:val="16"/>
                        <w:szCs w:val="16"/>
                      </w:rPr>
                    </w:pPr>
                    <w:bookmarkStart w:id="4" w:name="Absender"/>
                    <w:bookmarkEnd w:id="4"/>
                    <w:r>
                      <w:rPr>
                        <w:rFonts w:ascii="Tahoma" w:hAnsi="Tahoma" w:cs="Tahoma"/>
                        <w:sz w:val="16"/>
                        <w:szCs w:val="16"/>
                      </w:rPr>
                      <w:t>Stefanie Holst</w:t>
                    </w:r>
                  </w:p>
                </w:tc>
              </w:tr>
              <w:tr w:rsidR="00E00478" w:rsidRPr="00D33B49" w14:paraId="1F2AB914" w14:textId="77777777" w:rsidTr="00E00478">
                <w:trPr>
                  <w:trHeight w:val="181"/>
                </w:trPr>
                <w:tc>
                  <w:tcPr>
                    <w:tcW w:w="1185" w:type="dxa"/>
                    <w:shd w:val="clear" w:color="auto" w:fill="auto"/>
                  </w:tcPr>
                  <w:p w14:paraId="38EE2134"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Abt.</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Dept.</w:t>
                    </w:r>
                  </w:p>
                </w:tc>
                <w:tc>
                  <w:tcPr>
                    <w:tcW w:w="2565" w:type="dxa"/>
                    <w:gridSpan w:val="3"/>
                    <w:shd w:val="clear" w:color="auto" w:fill="auto"/>
                    <w:tcMar>
                      <w:right w:w="74" w:type="dxa"/>
                    </w:tcMar>
                  </w:tcPr>
                  <w:p w14:paraId="227C8C9A" w14:textId="77777777" w:rsidR="00E00478" w:rsidRPr="00D33B49" w:rsidRDefault="00BC2D0E" w:rsidP="00CA3BFA">
                    <w:pPr>
                      <w:framePr w:w="3856" w:h="1372" w:hRule="exact" w:hSpace="181" w:wrap="around" w:vAnchor="page" w:hAnchor="page" w:x="7429" w:y="3584" w:anchorLock="1"/>
                      <w:jc w:val="right"/>
                      <w:rPr>
                        <w:rFonts w:ascii="Tahoma" w:hAnsi="Tahoma" w:cs="Tahoma"/>
                        <w:sz w:val="16"/>
                        <w:szCs w:val="16"/>
                      </w:rPr>
                    </w:pPr>
                    <w:bookmarkStart w:id="5" w:name="Abteilung"/>
                    <w:bookmarkEnd w:id="5"/>
                    <w:r>
                      <w:rPr>
                        <w:rFonts w:ascii="Tahoma" w:hAnsi="Tahoma" w:cs="Tahoma"/>
                        <w:sz w:val="16"/>
                        <w:szCs w:val="16"/>
                      </w:rPr>
                      <w:t>Public Relations</w:t>
                    </w:r>
                  </w:p>
                </w:tc>
              </w:tr>
              <w:tr w:rsidR="00E00478" w:rsidRPr="00D33B49" w14:paraId="3CD9574F" w14:textId="77777777" w:rsidTr="00E00478">
                <w:trPr>
                  <w:trHeight w:val="181"/>
                </w:trPr>
                <w:tc>
                  <w:tcPr>
                    <w:tcW w:w="1281" w:type="dxa"/>
                    <w:gridSpan w:val="2"/>
                    <w:shd w:val="clear" w:color="auto" w:fill="auto"/>
                  </w:tcPr>
                  <w:p w14:paraId="450AF288"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T</w:t>
                    </w:r>
                    <w:r w:rsidRPr="00D33B49">
                      <w:rPr>
                        <w:rFonts w:ascii="Tahoma" w:hAnsi="Tahoma" w:cs="Tahoma"/>
                        <w:sz w:val="16"/>
                        <w:szCs w:val="16"/>
                      </w:rPr>
                      <w:t>el</w:t>
                    </w:r>
                    <w:r w:rsidRPr="00372270">
                      <w:rPr>
                        <w:rFonts w:ascii="Tahoma" w:hAnsi="Tahoma" w:cs="Tahoma"/>
                        <w:w w:val="80"/>
                        <w:sz w:val="16"/>
                        <w:szCs w:val="16"/>
                      </w:rPr>
                      <w:t xml:space="preserve">  </w:t>
                    </w:r>
                    <w:r w:rsidRPr="00D33B49">
                      <w:rPr>
                        <w:rFonts w:ascii="Tahoma" w:hAnsi="Tahoma" w:cs="Tahoma"/>
                        <w:sz w:val="16"/>
                        <w:szCs w:val="16"/>
                      </w:rPr>
                      <w:t>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50072312"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6" w:name="Durchwahl"/>
                    <w:bookmarkEnd w:id="6"/>
                    <w:r>
                      <w:rPr>
                        <w:rFonts w:ascii="Tahoma" w:hAnsi="Tahoma" w:cs="Tahoma"/>
                        <w:sz w:val="16"/>
                        <w:szCs w:val="16"/>
                      </w:rPr>
                      <w:t>+49 7031 932-</w:t>
                    </w:r>
                    <w:r w:rsidR="002154F0">
                      <w:rPr>
                        <w:rFonts w:ascii="Tahoma" w:hAnsi="Tahoma" w:cs="Tahoma"/>
                        <w:sz w:val="16"/>
                        <w:szCs w:val="16"/>
                      </w:rPr>
                      <w:t>4327</w:t>
                    </w:r>
                  </w:p>
                </w:tc>
              </w:tr>
              <w:tr w:rsidR="00E00478" w:rsidRPr="00D33B49" w14:paraId="454DAA81" w14:textId="77777777" w:rsidTr="00E00478">
                <w:trPr>
                  <w:trHeight w:val="181"/>
                </w:trPr>
                <w:tc>
                  <w:tcPr>
                    <w:tcW w:w="1281" w:type="dxa"/>
                    <w:gridSpan w:val="2"/>
                    <w:shd w:val="clear" w:color="auto" w:fill="auto"/>
                  </w:tcPr>
                  <w:p w14:paraId="78F74F82"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Pr>
                        <w:rFonts w:ascii="Tahoma" w:hAnsi="Tahoma" w:cs="Tahoma"/>
                        <w:sz w:val="16"/>
                        <w:szCs w:val="16"/>
                      </w:rPr>
                      <w:t>F</w:t>
                    </w:r>
                    <w:r w:rsidRPr="00D33B49">
                      <w:rPr>
                        <w:rFonts w:ascii="Tahoma" w:hAnsi="Tahoma" w:cs="Tahoma"/>
                        <w:sz w:val="16"/>
                        <w:szCs w:val="16"/>
                      </w:rPr>
                      <w:t>ax Dw.</w:t>
                    </w:r>
                    <w:r>
                      <w:rPr>
                        <w:rFonts w:ascii="Tahoma" w:hAnsi="Tahoma" w:cs="Tahoma"/>
                        <w:sz w:val="16"/>
                        <w:szCs w:val="16"/>
                      </w:rPr>
                      <w:t xml:space="preserve"> </w:t>
                    </w:r>
                    <w:r w:rsidRPr="00D33B49">
                      <w:rPr>
                        <w:rFonts w:ascii="Tahoma" w:hAnsi="Tahoma" w:cs="Tahoma"/>
                        <w:sz w:val="16"/>
                        <w:szCs w:val="16"/>
                      </w:rPr>
                      <w:t>/</w:t>
                    </w:r>
                    <w:r>
                      <w:rPr>
                        <w:rFonts w:ascii="Tahoma" w:hAnsi="Tahoma" w:cs="Tahoma"/>
                        <w:sz w:val="16"/>
                        <w:szCs w:val="16"/>
                      </w:rPr>
                      <w:t xml:space="preserve">/ </w:t>
                    </w:r>
                    <w:r w:rsidRPr="00D33B49">
                      <w:rPr>
                        <w:rFonts w:ascii="Tahoma" w:hAnsi="Tahoma" w:cs="Tahoma"/>
                        <w:sz w:val="16"/>
                        <w:szCs w:val="16"/>
                      </w:rPr>
                      <w:t>Ext.</w:t>
                    </w:r>
                  </w:p>
                </w:tc>
                <w:tc>
                  <w:tcPr>
                    <w:tcW w:w="2469" w:type="dxa"/>
                    <w:gridSpan w:val="2"/>
                    <w:shd w:val="clear" w:color="auto" w:fill="auto"/>
                  </w:tcPr>
                  <w:p w14:paraId="42B217F3" w14:textId="77777777" w:rsidR="00E00478" w:rsidRPr="00D33B49" w:rsidRDefault="00E00478" w:rsidP="00CA3BFA">
                    <w:pPr>
                      <w:framePr w:w="3856" w:h="1372" w:hRule="exact" w:hSpace="181" w:wrap="around" w:vAnchor="page" w:hAnchor="page" w:x="7429" w:y="3584" w:anchorLock="1"/>
                      <w:jc w:val="right"/>
                      <w:rPr>
                        <w:rFonts w:ascii="Tahoma" w:hAnsi="Tahoma" w:cs="Tahoma"/>
                        <w:sz w:val="16"/>
                        <w:szCs w:val="16"/>
                      </w:rPr>
                    </w:pPr>
                    <w:bookmarkStart w:id="7" w:name="Faxnummer"/>
                    <w:bookmarkEnd w:id="7"/>
                    <w:r>
                      <w:rPr>
                        <w:rFonts w:ascii="Tahoma" w:hAnsi="Tahoma" w:cs="Tahoma"/>
                        <w:sz w:val="16"/>
                        <w:szCs w:val="16"/>
                      </w:rPr>
                      <w:t>+49 7031 932-</w:t>
                    </w:r>
                    <w:r w:rsidR="00B26433">
                      <w:rPr>
                        <w:rFonts w:ascii="Tahoma" w:hAnsi="Tahoma" w:cs="Tahoma"/>
                        <w:sz w:val="16"/>
                        <w:szCs w:val="16"/>
                      </w:rPr>
                      <w:t>5</w:t>
                    </w:r>
                    <w:r w:rsidR="002154F0">
                      <w:rPr>
                        <w:rFonts w:ascii="Tahoma" w:hAnsi="Tahoma" w:cs="Tahoma"/>
                        <w:sz w:val="16"/>
                        <w:szCs w:val="16"/>
                      </w:rPr>
                      <w:t>4327</w:t>
                    </w:r>
                  </w:p>
                </w:tc>
              </w:tr>
              <w:tr w:rsidR="00E00478" w:rsidRPr="00D33B49" w14:paraId="580A6601" w14:textId="77777777" w:rsidTr="00E00478">
                <w:trPr>
                  <w:trHeight w:val="181"/>
                </w:trPr>
                <w:tc>
                  <w:tcPr>
                    <w:tcW w:w="1281" w:type="dxa"/>
                    <w:gridSpan w:val="2"/>
                    <w:shd w:val="clear" w:color="auto" w:fill="auto"/>
                  </w:tcPr>
                  <w:p w14:paraId="4F92FFEA" w14:textId="77777777" w:rsidR="00E00478" w:rsidRPr="00D33B49" w:rsidRDefault="00E00478" w:rsidP="00CA3BFA">
                    <w:pPr>
                      <w:framePr w:w="3856" w:h="1372" w:hRule="exact" w:hSpace="181" w:wrap="around" w:vAnchor="page" w:hAnchor="page" w:x="7429" w:y="3584" w:anchorLock="1"/>
                      <w:rPr>
                        <w:rFonts w:ascii="Tahoma" w:hAnsi="Tahoma" w:cs="Tahoma"/>
                        <w:sz w:val="16"/>
                        <w:szCs w:val="16"/>
                      </w:rPr>
                    </w:pPr>
                    <w:r w:rsidRPr="00D33B49">
                      <w:rPr>
                        <w:rFonts w:ascii="Tahoma" w:hAnsi="Tahoma" w:cs="Tahoma"/>
                        <w:sz w:val="16"/>
                        <w:szCs w:val="16"/>
                      </w:rPr>
                      <w:t>E-Mail</w:t>
                    </w:r>
                  </w:p>
                </w:tc>
                <w:tc>
                  <w:tcPr>
                    <w:tcW w:w="2469" w:type="dxa"/>
                    <w:gridSpan w:val="2"/>
                    <w:shd w:val="clear" w:color="auto" w:fill="auto"/>
                  </w:tcPr>
                  <w:p w14:paraId="557080CF" w14:textId="509C99E7" w:rsidR="00E00478" w:rsidRPr="00D33B49" w:rsidRDefault="006C1515" w:rsidP="00CA3BFA">
                    <w:pPr>
                      <w:framePr w:w="3856" w:h="1372" w:hRule="exact" w:hSpace="181" w:wrap="around" w:vAnchor="page" w:hAnchor="page" w:x="7429" w:y="3584" w:anchorLock="1"/>
                      <w:jc w:val="right"/>
                      <w:rPr>
                        <w:rFonts w:ascii="Tahoma" w:hAnsi="Tahoma" w:cs="Tahoma"/>
                        <w:sz w:val="16"/>
                        <w:szCs w:val="16"/>
                      </w:rPr>
                    </w:pPr>
                    <w:bookmarkStart w:id="8" w:name="eMail"/>
                    <w:bookmarkEnd w:id="8"/>
                    <w:r>
                      <w:rPr>
                        <w:rFonts w:ascii="Tahoma" w:hAnsi="Tahoma" w:cs="Tahoma"/>
                        <w:sz w:val="16"/>
                        <w:szCs w:val="16"/>
                      </w:rPr>
                      <w:t>stefanie.holst@bitzer.de</w:t>
                    </w:r>
                  </w:p>
                </w:tc>
              </w:tr>
              <w:tr w:rsidR="00E00478" w:rsidRPr="00D33B49" w14:paraId="289809A8" w14:textId="77777777" w:rsidTr="00E00478">
                <w:trPr>
                  <w:trHeight w:val="113"/>
                </w:trPr>
                <w:tc>
                  <w:tcPr>
                    <w:tcW w:w="1281" w:type="dxa"/>
                    <w:gridSpan w:val="2"/>
                    <w:shd w:val="clear" w:color="auto" w:fill="auto"/>
                  </w:tcPr>
                  <w:p w14:paraId="21F82848" w14:textId="77777777" w:rsidR="00E00478" w:rsidRPr="00D33B49" w:rsidRDefault="00E00478" w:rsidP="00CA3BFA">
                    <w:pPr>
                      <w:framePr w:w="3856" w:h="1372" w:hRule="exact" w:hSpace="181" w:wrap="around" w:vAnchor="page" w:hAnchor="page" w:x="7429" w:y="3584" w:anchorLock="1"/>
                      <w:ind w:left="-42"/>
                      <w:rPr>
                        <w:rFonts w:ascii="Tahoma" w:hAnsi="Tahoma" w:cs="Tahoma"/>
                        <w:sz w:val="12"/>
                        <w:szCs w:val="12"/>
                      </w:rPr>
                    </w:pPr>
                  </w:p>
                </w:tc>
                <w:tc>
                  <w:tcPr>
                    <w:tcW w:w="2469" w:type="dxa"/>
                    <w:gridSpan w:val="2"/>
                    <w:shd w:val="clear" w:color="auto" w:fill="auto"/>
                  </w:tcPr>
                  <w:p w14:paraId="482E058F" w14:textId="77777777" w:rsidR="00E00478" w:rsidRPr="00D33B49" w:rsidRDefault="00E00478" w:rsidP="00CA3BFA">
                    <w:pPr>
                      <w:framePr w:w="3856" w:h="1372" w:hRule="exact" w:hSpace="181" w:wrap="around" w:vAnchor="page" w:hAnchor="page" w:x="7429" w:y="3584" w:anchorLock="1"/>
                      <w:ind w:left="-42"/>
                      <w:jc w:val="right"/>
                      <w:rPr>
                        <w:rFonts w:ascii="Tahoma" w:hAnsi="Tahoma" w:cs="Tahoma"/>
                        <w:sz w:val="12"/>
                        <w:szCs w:val="12"/>
                      </w:rPr>
                    </w:pPr>
                  </w:p>
                </w:tc>
              </w:tr>
            </w:tbl>
            <w:p w14:paraId="6BB7292D" w14:textId="77777777" w:rsidR="00E00478" w:rsidRPr="00D33B49" w:rsidRDefault="00E00478" w:rsidP="00CA3BFA">
              <w:pPr>
                <w:framePr w:w="3856" w:h="1372" w:hRule="exact" w:hSpace="181" w:wrap="around" w:vAnchor="page" w:hAnchor="page" w:x="7429" w:y="3584" w:anchorLock="1"/>
                <w:rPr>
                  <w:rFonts w:ascii="Tahoma" w:hAnsi="Tahoma" w:cs="Tahoma"/>
                </w:rPr>
              </w:pPr>
            </w:p>
            <w:p w14:paraId="6CB3978F" w14:textId="77777777" w:rsidR="00E63021" w:rsidRPr="00CD3C95" w:rsidRDefault="00E63021" w:rsidP="00E63021">
              <w:pPr>
                <w:rPr>
                  <w:rFonts w:ascii="Tahoma" w:hAnsi="Tahoma" w:cs="Tahoma"/>
                  <w:sz w:val="22"/>
                  <w:szCs w:val="22"/>
                </w:rPr>
              </w:pPr>
            </w:p>
            <w:p w14:paraId="40CA3EA9" w14:textId="77777777" w:rsidR="00CB5388" w:rsidRPr="00CD3C95" w:rsidRDefault="00CB5388" w:rsidP="00E63021">
              <w:pPr>
                <w:tabs>
                  <w:tab w:val="left" w:pos="1851"/>
                </w:tabs>
                <w:rPr>
                  <w:rFonts w:ascii="Tahoma" w:hAnsi="Tahoma" w:cs="Tahoma"/>
                  <w:sz w:val="22"/>
                  <w:szCs w:val="22"/>
                </w:rPr>
              </w:pPr>
            </w:p>
            <w:p w14:paraId="29D2C106" w14:textId="77777777" w:rsidR="007F11B8" w:rsidRDefault="007F11B8" w:rsidP="00E63021">
              <w:pPr>
                <w:tabs>
                  <w:tab w:val="left" w:pos="1851"/>
                </w:tabs>
                <w:rPr>
                  <w:rFonts w:ascii="Tahoma" w:hAnsi="Tahoma" w:cs="Tahoma"/>
                  <w:sz w:val="22"/>
                  <w:szCs w:val="22"/>
                </w:rPr>
              </w:pPr>
              <w:bookmarkStart w:id="9" w:name="Betreff"/>
              <w:bookmarkEnd w:id="9"/>
            </w:p>
            <w:p w14:paraId="1543BEAD" w14:textId="77777777" w:rsidR="005A1070" w:rsidRDefault="005A1070" w:rsidP="00E63021">
              <w:pPr>
                <w:tabs>
                  <w:tab w:val="left" w:pos="1851"/>
                </w:tabs>
                <w:rPr>
                  <w:rFonts w:ascii="Tahoma" w:hAnsi="Tahoma" w:cs="Tahoma"/>
                  <w:sz w:val="22"/>
                  <w:szCs w:val="22"/>
                </w:rPr>
              </w:pPr>
            </w:p>
            <w:p w14:paraId="62F6AEDD" w14:textId="77777777" w:rsidR="005A1070" w:rsidRDefault="005A1070" w:rsidP="00E63021">
              <w:pPr>
                <w:tabs>
                  <w:tab w:val="left" w:pos="1851"/>
                </w:tabs>
                <w:rPr>
                  <w:rFonts w:ascii="Tahoma" w:hAnsi="Tahoma" w:cs="Tahoma"/>
                  <w:sz w:val="22"/>
                  <w:szCs w:val="22"/>
                </w:rPr>
              </w:pPr>
            </w:p>
            <w:p w14:paraId="2C9F4115" w14:textId="77777777" w:rsidR="005A1070" w:rsidRDefault="005A1070" w:rsidP="00E63021">
              <w:pPr>
                <w:tabs>
                  <w:tab w:val="left" w:pos="1851"/>
                </w:tabs>
                <w:rPr>
                  <w:rFonts w:ascii="Tahoma" w:hAnsi="Tahoma" w:cs="Tahoma"/>
                  <w:sz w:val="22"/>
                  <w:szCs w:val="22"/>
                </w:rPr>
              </w:pPr>
            </w:p>
            <w:p w14:paraId="74909293" w14:textId="77777777" w:rsidR="005A1070" w:rsidRDefault="005A1070" w:rsidP="00E63021">
              <w:pPr>
                <w:tabs>
                  <w:tab w:val="left" w:pos="1851"/>
                </w:tabs>
                <w:rPr>
                  <w:rFonts w:ascii="Tahoma" w:hAnsi="Tahoma" w:cs="Tahoma"/>
                  <w:sz w:val="22"/>
                  <w:szCs w:val="22"/>
                </w:rPr>
              </w:pPr>
            </w:p>
            <w:p w14:paraId="69540A56" w14:textId="77777777" w:rsidR="005A1070" w:rsidRDefault="005A1070" w:rsidP="00E63021">
              <w:pPr>
                <w:tabs>
                  <w:tab w:val="left" w:pos="1851"/>
                </w:tabs>
                <w:rPr>
                  <w:rFonts w:ascii="Tahoma" w:hAnsi="Tahoma" w:cs="Tahoma"/>
                  <w:sz w:val="22"/>
                  <w:szCs w:val="22"/>
                </w:rPr>
              </w:pPr>
            </w:p>
            <w:p w14:paraId="581D65AC" w14:textId="77777777" w:rsidR="007F11B8" w:rsidRDefault="001F5338" w:rsidP="00E63021">
              <w:pPr>
                <w:tabs>
                  <w:tab w:val="left" w:pos="1851"/>
                </w:tabs>
                <w:rPr>
                  <w:rFonts w:ascii="Tahoma" w:hAnsi="Tahoma" w:cs="Tahoma"/>
                  <w:sz w:val="22"/>
                  <w:szCs w:val="22"/>
                </w:rPr>
              </w:pPr>
            </w:p>
          </w:sdtContent>
        </w:sdt>
        <w:p w14:paraId="7AD26EEB" w14:textId="077595B6" w:rsidR="005E09B0" w:rsidRPr="00CD3C95" w:rsidRDefault="001F5338" w:rsidP="00E63021">
          <w:pPr>
            <w:tabs>
              <w:tab w:val="left" w:pos="1851"/>
            </w:tabs>
            <w:rPr>
              <w:rFonts w:ascii="Tahoma" w:hAnsi="Tahoma" w:cs="Tahoma"/>
              <w:sz w:val="22"/>
              <w:szCs w:val="22"/>
            </w:rPr>
            <w:sectPr w:rsidR="005E09B0" w:rsidRPr="00CD3C95" w:rsidSect="00AA1640">
              <w:headerReference w:type="default" r:id="rId8"/>
              <w:headerReference w:type="first" r:id="rId9"/>
              <w:footerReference w:type="first" r:id="rId10"/>
              <w:pgSz w:w="11906" w:h="16838" w:code="9"/>
              <w:pgMar w:top="991" w:right="680" w:bottom="1418" w:left="1247" w:header="850" w:footer="227" w:gutter="0"/>
              <w:cols w:space="708"/>
              <w:docGrid w:linePitch="326"/>
            </w:sectPr>
          </w:pPr>
        </w:p>
      </w:sdtContent>
    </w:sdt>
    <w:p w14:paraId="385B8193" w14:textId="5A37EDD6" w:rsidR="007F20AE" w:rsidRDefault="007F20AE" w:rsidP="00A25E17">
      <w:pPr>
        <w:spacing w:line="280" w:lineRule="exact"/>
        <w:rPr>
          <w:rFonts w:ascii="Tahoma" w:hAnsi="Tahoma"/>
          <w:b/>
          <w:sz w:val="28"/>
        </w:rPr>
      </w:pPr>
      <w:bookmarkStart w:id="10" w:name="Text"/>
      <w:bookmarkEnd w:id="10"/>
    </w:p>
    <w:p w14:paraId="0086DCB2" w14:textId="59DB26AF" w:rsidR="00A25E17" w:rsidRPr="00973279" w:rsidRDefault="008830DC" w:rsidP="00A25E17">
      <w:pPr>
        <w:spacing w:line="280" w:lineRule="exact"/>
        <w:rPr>
          <w:rFonts w:ascii="Tahoma" w:hAnsi="Tahoma" w:cs="Tahoma"/>
          <w:b/>
          <w:color w:val="333333"/>
          <w:sz w:val="20"/>
          <w:lang w:val="en-US"/>
        </w:rPr>
      </w:pPr>
      <w:r w:rsidRPr="00973279">
        <w:rPr>
          <w:rFonts w:ascii="Tahoma" w:hAnsi="Tahoma"/>
          <w:b/>
          <w:sz w:val="28"/>
          <w:lang w:val="en-US"/>
        </w:rPr>
        <w:t>Cooling as a Service: eine Revolution der Industriekälte</w:t>
      </w:r>
    </w:p>
    <w:p w14:paraId="50CD3D4E" w14:textId="77777777" w:rsidR="00A25E17" w:rsidRPr="007F3667" w:rsidRDefault="00A25E17" w:rsidP="00A25E17">
      <w:pPr>
        <w:spacing w:line="280" w:lineRule="exact"/>
        <w:rPr>
          <w:rFonts w:ascii="Tahoma" w:hAnsi="Tahoma" w:cs="Tahoma"/>
          <w:color w:val="333333"/>
          <w:sz w:val="20"/>
          <w:lang w:val="en-US"/>
        </w:rPr>
      </w:pPr>
    </w:p>
    <w:p w14:paraId="25160DA9" w14:textId="3C086F88" w:rsidR="00793C99" w:rsidRDefault="00502FFE" w:rsidP="00502FFE">
      <w:pPr>
        <w:spacing w:before="240" w:after="200" w:line="360" w:lineRule="auto"/>
        <w:rPr>
          <w:rFonts w:ascii="Tahoma" w:hAnsi="Tahoma"/>
          <w:i/>
          <w:iCs/>
          <w:sz w:val="22"/>
          <w:szCs w:val="22"/>
        </w:rPr>
      </w:pPr>
      <w:r>
        <w:rPr>
          <w:rFonts w:ascii="Tahoma" w:hAnsi="Tahoma"/>
          <w:i/>
          <w:sz w:val="22"/>
        </w:rPr>
        <w:t>Dawie Kriel (M. Eng. Pr. Eng.), General Manager: Energy Partners Refrigeration in Kapstadt, Südafrika</w:t>
      </w:r>
    </w:p>
    <w:p w14:paraId="7F8A9A50" w14:textId="531CE7FA" w:rsidR="00AB2D39" w:rsidRPr="001D13BA" w:rsidRDefault="00F7171D" w:rsidP="00502FFE">
      <w:pPr>
        <w:spacing w:before="240" w:after="200" w:line="360" w:lineRule="auto"/>
        <w:rPr>
          <w:rFonts w:ascii="Tahoma" w:hAnsi="Tahoma" w:cs="Tahoma"/>
          <w:i/>
          <w:sz w:val="22"/>
          <w:szCs w:val="22"/>
        </w:rPr>
      </w:pPr>
      <w:r>
        <w:rPr>
          <w:rFonts w:ascii="Tahoma" w:hAnsi="Tahoma"/>
          <w:i/>
          <w:sz w:val="22"/>
        </w:rPr>
        <w:t>Cooling as a Service wird im Bereich Industriekälte immer beliebter. Indem die Unternehmen Eigentum gegen Nutzung tauschen und somit die Betriebsrisiken auf den Dienstleister übertragen, können sie sich auf ihr Kerngeschäft konzentrieren und gleichzeitig von den neuesten Innovationen in der Kältetechnik profitieren. Dieser Artikel ist eine Zusammenfassung des Vortrags von Dawie Kriel auf der Konferenz des Industrial Refrigeration Network in der SCHAUFLER Academy in Rottenburg</w:t>
      </w:r>
      <w:r w:rsidR="00630B49">
        <w:rPr>
          <w:rFonts w:ascii="Tahoma" w:hAnsi="Tahoma"/>
          <w:i/>
          <w:sz w:val="22"/>
        </w:rPr>
        <w:t>-Ergenzingen</w:t>
      </w:r>
      <w:r>
        <w:rPr>
          <w:rFonts w:ascii="Tahoma" w:hAnsi="Tahoma"/>
          <w:i/>
          <w:sz w:val="22"/>
        </w:rPr>
        <w:t>.</w:t>
      </w:r>
    </w:p>
    <w:p w14:paraId="038ED44A" w14:textId="0018F406" w:rsidR="00AB2D39" w:rsidRDefault="001D13BA" w:rsidP="00AB2D39">
      <w:pPr>
        <w:spacing w:before="240" w:after="200" w:line="360" w:lineRule="auto"/>
        <w:rPr>
          <w:rFonts w:ascii="Tahoma" w:hAnsi="Tahoma" w:cs="Tahoma"/>
          <w:sz w:val="22"/>
          <w:szCs w:val="22"/>
        </w:rPr>
      </w:pPr>
      <w:r>
        <w:rPr>
          <w:rFonts w:ascii="Tahoma" w:hAnsi="Tahoma"/>
          <w:sz w:val="22"/>
        </w:rPr>
        <w:t xml:space="preserve">In den letzten Jahren hat sich der Bereich Industriekälte durch das Aufkommen von Dienstleistungsmodellen stark verändert. Cooling as a Service (CaaS) bedeutet eine Abkehr von den traditionellen eigentumsbasierten Ansätzen hin zu einer stärker ergebnisorientierten Partnerschaft zwischen Anbietern und Endnutzern in der Kälte- und Wärmepumpenbranche. Dieser Artikel beleuchtet nicht nur die umfänglichen Möglichkeiten, die CaaS für Anbieter, Kunden und Investoren bietet, sondern zeigt auch die dynamischen Auswirkungen auf, die das Modell auf Betriebsrisiko, Energieeffizienz und nachhaltiges Wirtschaften haben kann. </w:t>
      </w:r>
    </w:p>
    <w:p w14:paraId="4A933DD3" w14:textId="771ECB2D" w:rsidR="003E18B3" w:rsidRPr="007E66D7" w:rsidRDefault="003E18B3" w:rsidP="003E18B3">
      <w:pPr>
        <w:spacing w:before="240" w:after="200" w:line="360" w:lineRule="auto"/>
        <w:rPr>
          <w:rFonts w:ascii="Tahoma" w:hAnsi="Tahoma"/>
          <w:b/>
          <w:bCs/>
          <w:iCs/>
          <w:sz w:val="22"/>
          <w:szCs w:val="22"/>
        </w:rPr>
      </w:pPr>
      <w:r>
        <w:rPr>
          <w:rFonts w:ascii="Tahoma" w:hAnsi="Tahoma"/>
          <w:b/>
          <w:sz w:val="22"/>
        </w:rPr>
        <w:t>Dienstleistungsmodelle</w:t>
      </w:r>
      <w:r w:rsidR="00630B49">
        <w:rPr>
          <w:rFonts w:ascii="Tahoma" w:hAnsi="Tahoma"/>
          <w:b/>
          <w:sz w:val="22"/>
        </w:rPr>
        <w:t xml:space="preserve"> im Überblick</w:t>
      </w:r>
    </w:p>
    <w:p w14:paraId="5AD1D864" w14:textId="4E2E84EF" w:rsidR="003E18B3" w:rsidRPr="003E18B3" w:rsidRDefault="003E18B3" w:rsidP="003E18B3">
      <w:pPr>
        <w:spacing w:before="240" w:after="200" w:line="360" w:lineRule="auto"/>
        <w:rPr>
          <w:rFonts w:ascii="Tahoma" w:hAnsi="Tahoma"/>
          <w:iCs/>
          <w:sz w:val="22"/>
          <w:szCs w:val="22"/>
        </w:rPr>
      </w:pPr>
      <w:r>
        <w:rPr>
          <w:rFonts w:ascii="Tahoma" w:hAnsi="Tahoma"/>
          <w:sz w:val="22"/>
        </w:rPr>
        <w:t xml:space="preserve">Dienstleistungsmodelle sind eine grundlegende Neudefinition der Beziehung zwischen Anbietern und Kunden, indem sie anstelle von Produkten Ergebnisse anbieten. Bei einem CaaS-Modell gehen Kunden Partnerschaften ein, bei denen die </w:t>
      </w:r>
      <w:r w:rsidR="00C60EFF">
        <w:rPr>
          <w:rFonts w:ascii="Tahoma" w:hAnsi="Tahoma"/>
          <w:sz w:val="22"/>
        </w:rPr>
        <w:t>Kälte</w:t>
      </w:r>
      <w:r>
        <w:rPr>
          <w:rFonts w:ascii="Tahoma" w:hAnsi="Tahoma"/>
          <w:sz w:val="22"/>
        </w:rPr>
        <w:t xml:space="preserve">- oder Heizanlagen im Besitz der Anbieter sind und von ihnen betrieben werden. Das heißt, dass sie auch alle zugehörigen Risiken und Verantwortlichkeiten während des Lebenszyklus der Anlage übernehmen. Kunden müssen keine große Erstinvestition </w:t>
      </w:r>
      <w:r>
        <w:rPr>
          <w:rFonts w:ascii="Tahoma" w:hAnsi="Tahoma"/>
          <w:sz w:val="22"/>
        </w:rPr>
        <w:lastRenderedPageBreak/>
        <w:t>tätigen, sondern zahlen stattdessen beispielsweise einen Festpreis pro kW Kälteleistung. Dieser Preis beinhaltet Wartung und Reparaturen. Der Anbieter garantiert die Verfügbarkeit und muss unter Umständen sogar Strafgebühren für Ausfälle zahlen. Eine solche Umstellung von Eigentum auf Nutzung ist ein Paradigmenwechsel und führt zu geringeren Lebenszykluskosten, besserer Betriebseffizienz und einem Fokus auf nachhaltige Praktiken.</w:t>
      </w:r>
    </w:p>
    <w:p w14:paraId="3F674E78" w14:textId="128F37BC" w:rsidR="003E18B3" w:rsidRPr="007E66D7" w:rsidRDefault="003E18B3" w:rsidP="003E18B3">
      <w:pPr>
        <w:spacing w:before="240" w:after="200" w:line="360" w:lineRule="auto"/>
        <w:rPr>
          <w:rFonts w:ascii="Tahoma" w:hAnsi="Tahoma"/>
          <w:b/>
          <w:bCs/>
          <w:iCs/>
          <w:sz w:val="22"/>
          <w:szCs w:val="22"/>
        </w:rPr>
      </w:pPr>
      <w:r>
        <w:rPr>
          <w:rFonts w:ascii="Tahoma" w:hAnsi="Tahoma"/>
          <w:b/>
          <w:sz w:val="22"/>
        </w:rPr>
        <w:t>Auswirkungen von Cooling as a Service</w:t>
      </w:r>
    </w:p>
    <w:p w14:paraId="44D55333" w14:textId="5A5DC585" w:rsidR="003E18B3" w:rsidRPr="003E18B3" w:rsidRDefault="003E18B3" w:rsidP="003E18B3">
      <w:pPr>
        <w:spacing w:before="240" w:after="200" w:line="360" w:lineRule="auto"/>
        <w:rPr>
          <w:rFonts w:ascii="Tahoma" w:hAnsi="Tahoma"/>
          <w:iCs/>
          <w:sz w:val="22"/>
          <w:szCs w:val="22"/>
        </w:rPr>
      </w:pPr>
      <w:r>
        <w:rPr>
          <w:rFonts w:ascii="Tahoma" w:hAnsi="Tahoma"/>
          <w:sz w:val="22"/>
        </w:rPr>
        <w:t xml:space="preserve">Bei CaaS handelt es sich in erster Linie um eine Risikoübertragung und nicht um ein Mittel zur Finanzierung von Ausstattung. Im Vordergrund steht die Betriebseffizienz, sodass möglichst geringe Lebenszykluskosten gewährleistet sind und sowohl der Anbieter als auch der Endnutzer von mehr Rentabilität bei gleichzeitiger ökologischer Nachhaltigkeit profitieren. Durch die Übertragung der Betriebsrisiken auf die Anbieter können sich die Kunden auf ihre Kerntätigkeiten konzentrieren, während die Anbieter eine optimale Anlagenleistung, Betriebszeit und </w:t>
      </w:r>
      <w:r w:rsidR="00F650C7">
        <w:rPr>
          <w:rFonts w:ascii="Tahoma" w:hAnsi="Tahoma"/>
          <w:sz w:val="22"/>
        </w:rPr>
        <w:t>Einhaltung von Vorschriften</w:t>
      </w:r>
      <w:r>
        <w:rPr>
          <w:rFonts w:ascii="Tahoma" w:hAnsi="Tahoma"/>
          <w:sz w:val="22"/>
        </w:rPr>
        <w:t xml:space="preserve"> gewährleisten. Darüber hinaus schafft das CaaS-Einkommensmodell Anreize für die Anbieter, die Effizienz zu steigern, den Energieverbrauch zu senken und die Einführung nachhaltiger Technologien voranzutreiben. Da Temperaturen besser eingehalten werden können, wird die Produktqualität </w:t>
      </w:r>
      <w:r w:rsidR="002F5CA4">
        <w:rPr>
          <w:rFonts w:ascii="Tahoma" w:hAnsi="Tahoma"/>
          <w:sz w:val="22"/>
        </w:rPr>
        <w:t>erhöht</w:t>
      </w:r>
      <w:r>
        <w:rPr>
          <w:rFonts w:ascii="Tahoma" w:hAnsi="Tahoma"/>
          <w:sz w:val="22"/>
        </w:rPr>
        <w:t xml:space="preserve">, was </w:t>
      </w:r>
      <w:r w:rsidR="00E927D7">
        <w:rPr>
          <w:rFonts w:ascii="Tahoma" w:hAnsi="Tahoma"/>
          <w:sz w:val="22"/>
        </w:rPr>
        <w:t>mehr</w:t>
      </w:r>
      <w:r>
        <w:rPr>
          <w:rFonts w:ascii="Tahoma" w:hAnsi="Tahoma"/>
          <w:sz w:val="22"/>
        </w:rPr>
        <w:t xml:space="preserve"> Rentabilität für Kunden und Anbieter bedeutet.</w:t>
      </w:r>
    </w:p>
    <w:p w14:paraId="46E59B53" w14:textId="25BFD298" w:rsidR="003E18B3" w:rsidRPr="007E66D7" w:rsidRDefault="003C0428" w:rsidP="003E18B3">
      <w:pPr>
        <w:spacing w:before="240" w:after="200" w:line="360" w:lineRule="auto"/>
        <w:rPr>
          <w:rFonts w:ascii="Tahoma" w:hAnsi="Tahoma"/>
          <w:b/>
          <w:bCs/>
          <w:iCs/>
          <w:sz w:val="22"/>
          <w:szCs w:val="22"/>
        </w:rPr>
      </w:pPr>
      <w:r>
        <w:rPr>
          <w:rFonts w:ascii="Tahoma" w:hAnsi="Tahoma"/>
          <w:b/>
          <w:sz w:val="22"/>
        </w:rPr>
        <w:t>Steigerung der Innovationskraft</w:t>
      </w:r>
    </w:p>
    <w:p w14:paraId="0F5339A9" w14:textId="2500FD90" w:rsidR="003E18B3" w:rsidRDefault="003E18B3" w:rsidP="003E18B3">
      <w:pPr>
        <w:spacing w:before="240" w:after="200" w:line="360" w:lineRule="auto"/>
        <w:rPr>
          <w:rFonts w:ascii="Tahoma" w:hAnsi="Tahoma"/>
          <w:iCs/>
          <w:sz w:val="22"/>
          <w:szCs w:val="22"/>
        </w:rPr>
      </w:pPr>
      <w:r>
        <w:rPr>
          <w:rFonts w:ascii="Tahoma" w:hAnsi="Tahoma"/>
          <w:sz w:val="22"/>
        </w:rPr>
        <w:t xml:space="preserve">Einer der wichtigsten Wettbewerbsvorteile von CaaS-Modellen ist die Energieeffizienz. So sind Anbieter motiviert, technische Innovationen und intelligentes Management von Energieanlagen voranzutreiben. Sie verwalten die komplexen Herausforderungen, die sich aus den unterschiedlichen Anforderungen der Geräte und der Notwendigkeit ergeben, Kompatibilität sicherzustellen und strenge gesetzliche Vorschriften einzuhalten. Außerdem sind die Anbieter gefordert, ihr Dienstleistungsangebot durch umfassendes Datenmanagement, Leistungsüberwachung in Echtzeit und eine zentralisierte Anlagenverwaltung zu verbessern. Da sie die Anlage in Betrieb genommen haben und kontinuierlich Betriebsdaten erfassen, können sie die Kunden beraten, wie sich die Effizienz weiter steigern oder der Energieverbrauch reduzieren lässt. Durch diesen stringenten kundenorientierten Ansatz begrenzen sie auch ihr eigenes Investitionsrisiko – schließlich haben sie viel zu verlieren, wenn der Kunde in finanzielle Schwierigkeiten gerät. </w:t>
      </w:r>
    </w:p>
    <w:p w14:paraId="08402FEA" w14:textId="7B10115D" w:rsidR="00DA39F3" w:rsidRPr="007E66D7" w:rsidRDefault="00F650C7" w:rsidP="00DA39F3">
      <w:pPr>
        <w:spacing w:before="240" w:after="200" w:line="360" w:lineRule="auto"/>
        <w:rPr>
          <w:rFonts w:ascii="Tahoma" w:hAnsi="Tahoma"/>
          <w:b/>
          <w:bCs/>
          <w:iCs/>
          <w:sz w:val="22"/>
          <w:szCs w:val="22"/>
        </w:rPr>
      </w:pPr>
      <w:r>
        <w:rPr>
          <w:rFonts w:ascii="Tahoma" w:hAnsi="Tahoma"/>
          <w:b/>
          <w:sz w:val="22"/>
        </w:rPr>
        <w:t xml:space="preserve">Ökologische Notwendigkeit </w:t>
      </w:r>
    </w:p>
    <w:p w14:paraId="0252EE95" w14:textId="39B01A3B" w:rsidR="00DA39F3" w:rsidRPr="00DA39F3" w:rsidRDefault="00DA39F3" w:rsidP="00DA39F3">
      <w:pPr>
        <w:spacing w:before="240" w:after="200" w:line="360" w:lineRule="auto"/>
        <w:rPr>
          <w:rFonts w:ascii="Tahoma" w:hAnsi="Tahoma"/>
          <w:iCs/>
          <w:sz w:val="22"/>
          <w:szCs w:val="22"/>
        </w:rPr>
      </w:pPr>
      <w:r>
        <w:rPr>
          <w:rFonts w:ascii="Tahoma" w:hAnsi="Tahoma"/>
          <w:sz w:val="22"/>
        </w:rPr>
        <w:t xml:space="preserve">Die Umweltauswirkungen herkömmlicher Kälteanlagen unterstreichen die Dringlichkeit nachhaltigerer Lösungen. CaaS trägt dieser Notwendigkeit Rechnung, indem es den Fokus auf Effizienzsteigerungen </w:t>
      </w:r>
      <w:r>
        <w:rPr>
          <w:rFonts w:ascii="Tahoma" w:hAnsi="Tahoma"/>
          <w:sz w:val="22"/>
        </w:rPr>
        <w:lastRenderedPageBreak/>
        <w:t xml:space="preserve">und die Verwendung natürlicher Kältemittel legt: Diese erfüllen nicht nur alle gesetzlichen Vorschriften, sondern werden in absehbarer Zukunft auch am kostengünstigsten sein. Mit seinen qualitativ hochwertigen Daten </w:t>
      </w:r>
      <w:r w:rsidR="00822319">
        <w:rPr>
          <w:rFonts w:ascii="Tahoma" w:hAnsi="Tahoma"/>
          <w:sz w:val="22"/>
        </w:rPr>
        <w:t>entspricht</w:t>
      </w:r>
      <w:r>
        <w:rPr>
          <w:rFonts w:ascii="Tahoma" w:hAnsi="Tahoma"/>
          <w:sz w:val="22"/>
        </w:rPr>
        <w:t xml:space="preserve"> CaaS auch d</w:t>
      </w:r>
      <w:r w:rsidR="00822319">
        <w:rPr>
          <w:rFonts w:ascii="Tahoma" w:hAnsi="Tahoma"/>
          <w:sz w:val="22"/>
        </w:rPr>
        <w:t>en</w:t>
      </w:r>
      <w:r>
        <w:rPr>
          <w:rFonts w:ascii="Tahoma" w:hAnsi="Tahoma"/>
          <w:sz w:val="22"/>
        </w:rPr>
        <w:t xml:space="preserve"> Anforderungen an die ESG-Berichterstattung, verbessert die Umweltbilanz der Kundenunternehmen und trägt zu dem übergeordneten Ziel einer nachhaltigen Entwicklung bei. Somit stellen CaaS-Modelle eine Win-win-win-Situation dar: für den Kunden, den Anbieter und die Umwelt.</w:t>
      </w:r>
    </w:p>
    <w:p w14:paraId="4297810D" w14:textId="7AFE50E0" w:rsidR="00DA39F3" w:rsidRPr="007E66D7" w:rsidRDefault="00DA39F3" w:rsidP="00DA39F3">
      <w:pPr>
        <w:spacing w:before="240" w:after="200" w:line="360" w:lineRule="auto"/>
        <w:rPr>
          <w:rFonts w:ascii="Tahoma" w:hAnsi="Tahoma"/>
          <w:b/>
          <w:bCs/>
          <w:iCs/>
          <w:sz w:val="22"/>
          <w:szCs w:val="22"/>
        </w:rPr>
      </w:pPr>
      <w:r>
        <w:rPr>
          <w:rFonts w:ascii="Tahoma" w:hAnsi="Tahoma"/>
          <w:b/>
          <w:sz w:val="22"/>
        </w:rPr>
        <w:t>CaaS in Afrika</w:t>
      </w:r>
    </w:p>
    <w:p w14:paraId="04CDB88D" w14:textId="66BFE3F7" w:rsidR="00DA39F3" w:rsidRPr="00DA39F3" w:rsidRDefault="00DA39F3" w:rsidP="00DA39F3">
      <w:pPr>
        <w:spacing w:before="240" w:after="200" w:line="360" w:lineRule="auto"/>
        <w:rPr>
          <w:rFonts w:ascii="Tahoma" w:hAnsi="Tahoma"/>
          <w:iCs/>
          <w:sz w:val="22"/>
          <w:szCs w:val="22"/>
        </w:rPr>
      </w:pPr>
      <w:r>
        <w:rPr>
          <w:rFonts w:ascii="Tahoma" w:hAnsi="Tahoma"/>
          <w:sz w:val="22"/>
        </w:rPr>
        <w:t>Afrika kann als gutes Beispiel für die Vorteile von CaaS herangezogen werden: Der Kontinent sieht sich einzigartigen Herausforderungen bei der Stromversorgung, Kühlketteninfrastruktur und Nahrungsmittelsicherheit gegenüber. Mit CaaS können auch kleinere Unternehmen und Projekte in K</w:t>
      </w:r>
      <w:r w:rsidR="00C33F24">
        <w:rPr>
          <w:rFonts w:ascii="Tahoma" w:hAnsi="Tahoma"/>
          <w:sz w:val="22"/>
        </w:rPr>
        <w:t>ühl</w:t>
      </w:r>
      <w:r>
        <w:rPr>
          <w:rFonts w:ascii="Tahoma" w:hAnsi="Tahoma"/>
          <w:sz w:val="22"/>
        </w:rPr>
        <w:t>räume, Kühllager und Transport investieren und sind weniger von Stromausfällen beeinträchtigt. Lebensmittel und andere verderbliche Produkte bleiben viel länger frisch, was Nachernteverluste sowie Energie- und Flächenverschwendung verringert und die wirtschaftliche Entwicklung fördert. Durch das Angebot effizienter und erschwinglicher Kühllösungen hat CaaS das Potenzial, den Agrarsektor zu transformieren und die Lebensgrundlagen auf dem Kontinent zu verbessern (</w:t>
      </w:r>
      <w:r>
        <w:rPr>
          <w:rFonts w:ascii="Tahoma" w:hAnsi="Tahoma"/>
          <w:b/>
          <w:color w:val="00B050"/>
          <w:sz w:val="22"/>
        </w:rPr>
        <w:t xml:space="preserve">Bild </w:t>
      </w:r>
      <w:r w:rsidR="001F5338">
        <w:rPr>
          <w:rFonts w:ascii="Tahoma" w:hAnsi="Tahoma"/>
          <w:b/>
          <w:color w:val="00B050"/>
          <w:sz w:val="22"/>
        </w:rPr>
        <w:t>3</w:t>
      </w:r>
      <w:r>
        <w:rPr>
          <w:rFonts w:ascii="Tahoma" w:hAnsi="Tahoma"/>
          <w:sz w:val="22"/>
        </w:rPr>
        <w:t>). Allerdings ist dieses Konzept in Industrieländern, die sich einer höheren Nachhaltigkeit verschrieben haben, ebenso relevant.</w:t>
      </w:r>
    </w:p>
    <w:p w14:paraId="632DA940" w14:textId="28654387" w:rsidR="00DA39F3" w:rsidRPr="007E66D7" w:rsidRDefault="00DA39F3" w:rsidP="00DA39F3">
      <w:pPr>
        <w:spacing w:before="240" w:after="200" w:line="360" w:lineRule="auto"/>
        <w:rPr>
          <w:rFonts w:ascii="Tahoma" w:hAnsi="Tahoma"/>
          <w:b/>
          <w:bCs/>
          <w:iCs/>
          <w:sz w:val="22"/>
          <w:szCs w:val="22"/>
        </w:rPr>
      </w:pPr>
      <w:r>
        <w:rPr>
          <w:rFonts w:ascii="Tahoma" w:hAnsi="Tahoma"/>
          <w:b/>
          <w:sz w:val="22"/>
        </w:rPr>
        <w:t>Fallstudie: Clover SA</w:t>
      </w:r>
    </w:p>
    <w:p w14:paraId="75174572" w14:textId="1B4AA8CE" w:rsidR="00DA39F3" w:rsidRPr="00DA39F3" w:rsidRDefault="00DA39F3" w:rsidP="00DA39F3">
      <w:pPr>
        <w:spacing w:before="240" w:after="200" w:line="360" w:lineRule="auto"/>
        <w:rPr>
          <w:rFonts w:ascii="Tahoma" w:hAnsi="Tahoma"/>
          <w:iCs/>
          <w:sz w:val="22"/>
          <w:szCs w:val="22"/>
        </w:rPr>
      </w:pPr>
      <w:r>
        <w:rPr>
          <w:rFonts w:ascii="Tahoma" w:hAnsi="Tahoma"/>
          <w:sz w:val="22"/>
        </w:rPr>
        <w:t>Die Einführung von CaaS bei Clover SA, einem der größten Hersteller von Milchprodukten in Südafrika, ist ein überzeugendes Beispiel für die Transformationskraft von Dienstleistungsmodellen. Energy Partners lieferte eine 2-stufige 10-MW-Ammoniak-K</w:t>
      </w:r>
      <w:r w:rsidR="00C33F24">
        <w:rPr>
          <w:rFonts w:ascii="Tahoma" w:hAnsi="Tahoma"/>
          <w:sz w:val="22"/>
        </w:rPr>
        <w:t>älte</w:t>
      </w:r>
      <w:r>
        <w:rPr>
          <w:rFonts w:ascii="Tahoma" w:hAnsi="Tahoma"/>
          <w:sz w:val="22"/>
        </w:rPr>
        <w:t>anlage mit einer 1,6-MW-Solarenergieanlage für das Werk in Queensburgh (</w:t>
      </w:r>
      <w:r>
        <w:rPr>
          <w:rFonts w:ascii="Tahoma" w:hAnsi="Tahoma"/>
          <w:b/>
          <w:color w:val="00B050"/>
          <w:sz w:val="22"/>
        </w:rPr>
        <w:t xml:space="preserve">Bild </w:t>
      </w:r>
      <w:r w:rsidR="001F5338">
        <w:rPr>
          <w:rFonts w:ascii="Tahoma" w:hAnsi="Tahoma"/>
          <w:b/>
          <w:color w:val="00B050"/>
          <w:sz w:val="22"/>
        </w:rPr>
        <w:t>4</w:t>
      </w:r>
      <w:r>
        <w:rPr>
          <w:rFonts w:ascii="Tahoma" w:hAnsi="Tahoma"/>
          <w:sz w:val="22"/>
        </w:rPr>
        <w:t>). Durch die Wärmerückgewinnung und die Nutzung von Solarenergie konnten Kosteneinsparungen von 40%, Effizienzsteigerungen und eine Reduzierung der Kohlenstoffemissionen erzielt werden. Es ist nun die erste Kälte-, Dampf- und Stromanlage, die als CaaS-Projekt betrieben wird. Sie macht das Potenzial dieses Modells zur Förderung von nachhaltigem Wachstum und Innovation in der Milchwirtschaft deutlich und kann als Präzedenzfall für andere Unternehmen herangezogen werden.</w:t>
      </w:r>
    </w:p>
    <w:p w14:paraId="18D009C6" w14:textId="0D43303F" w:rsidR="00DA39F3" w:rsidRPr="007E66D7" w:rsidRDefault="00DA39F3" w:rsidP="00DA39F3">
      <w:pPr>
        <w:spacing w:before="240" w:after="200" w:line="360" w:lineRule="auto"/>
        <w:rPr>
          <w:rFonts w:ascii="Tahoma" w:hAnsi="Tahoma"/>
          <w:b/>
          <w:bCs/>
          <w:iCs/>
          <w:sz w:val="22"/>
          <w:szCs w:val="22"/>
        </w:rPr>
      </w:pPr>
      <w:r>
        <w:rPr>
          <w:rFonts w:ascii="Tahoma" w:hAnsi="Tahoma"/>
          <w:b/>
          <w:sz w:val="22"/>
        </w:rPr>
        <w:t>Finanzielle Perspektive und Zukunftsaussichten</w:t>
      </w:r>
    </w:p>
    <w:p w14:paraId="0BC804C5" w14:textId="4043368B" w:rsidR="00DA39F3" w:rsidRPr="00DA39F3" w:rsidRDefault="00DA39F3" w:rsidP="00DA39F3">
      <w:pPr>
        <w:spacing w:before="240" w:after="200" w:line="360" w:lineRule="auto"/>
        <w:rPr>
          <w:rFonts w:ascii="Tahoma" w:hAnsi="Tahoma"/>
          <w:iCs/>
          <w:sz w:val="22"/>
          <w:szCs w:val="22"/>
        </w:rPr>
      </w:pPr>
      <w:r>
        <w:rPr>
          <w:rFonts w:ascii="Tahoma" w:hAnsi="Tahoma"/>
          <w:sz w:val="22"/>
        </w:rPr>
        <w:t xml:space="preserve">Finanzinstitute spielen eine entscheidende Rolle, da sie die Einführung von CaaS durch das Angebot innovativer Finanzierungslösungen ermöglichen. Die Anleger möchten gerne in rentable Projekte im Energiesektor investieren – CaaS wiederum bietet zuverlässige Renditen bei einer nachhaltigen </w:t>
      </w:r>
      <w:r>
        <w:rPr>
          <w:rFonts w:ascii="Tahoma" w:hAnsi="Tahoma"/>
          <w:sz w:val="22"/>
        </w:rPr>
        <w:lastRenderedPageBreak/>
        <w:t xml:space="preserve">Technologie. Angesichts der ständigen Weiterentwicklung der Branche werden die Integration von Wärmepumpentechnologien und die fortgesetzte Zusammenarbeit zwischen den Stakeholdern das Wertversprechen von CaaS weiter verbessern und nachhaltiges Wachstum und Innovation fördern. </w:t>
      </w:r>
    </w:p>
    <w:p w14:paraId="136BA268" w14:textId="26CC2639" w:rsidR="00DA39F3" w:rsidRPr="007E66D7" w:rsidRDefault="00DA39F3" w:rsidP="00DA39F3">
      <w:pPr>
        <w:spacing w:before="240" w:after="200" w:line="360" w:lineRule="auto"/>
        <w:rPr>
          <w:rFonts w:ascii="Tahoma" w:hAnsi="Tahoma"/>
          <w:b/>
          <w:bCs/>
          <w:iCs/>
          <w:sz w:val="22"/>
          <w:szCs w:val="22"/>
        </w:rPr>
      </w:pPr>
      <w:r>
        <w:rPr>
          <w:rFonts w:ascii="Tahoma" w:hAnsi="Tahoma"/>
          <w:b/>
          <w:sz w:val="22"/>
        </w:rPr>
        <w:t>Fazit</w:t>
      </w:r>
    </w:p>
    <w:p w14:paraId="2C75A414" w14:textId="7B701DAC" w:rsidR="00431BC3" w:rsidRDefault="00DA39F3" w:rsidP="007E66D7">
      <w:pPr>
        <w:spacing w:before="240" w:after="200" w:line="360" w:lineRule="auto"/>
        <w:rPr>
          <w:rFonts w:ascii="Tahoma" w:hAnsi="Tahoma"/>
          <w:sz w:val="22"/>
        </w:rPr>
      </w:pPr>
      <w:r>
        <w:rPr>
          <w:rFonts w:ascii="Tahoma" w:hAnsi="Tahoma"/>
          <w:sz w:val="22"/>
        </w:rPr>
        <w:t>Die Umstellung auf Cooling as a Service bietet der Kälte- und Wärmepumpenbranche eine Gelegenheit zur Transformation. Durch die Kombination von Heizung und Kühlung und möglicherweise ebenso Stromerzeugung werden sich noch weitere Chancen ergeben. Mit der Umstellung auf Dienstleistungsmodelle erschließen sich allen Beteiligten neue Möglichkeiten für mehr Effizienz, Nachhaltigkeit und gemeinsamen Erfolg. Bei der Bewältigung dieses Paradigmenwechsels können wir die Chance nutzen, eine widerstandsfähigere, innovativere und nachhaltigere Zukunft für alle zu schaffen, indem wir uns die Möglichkeiten von CaaS zunutze machen, um positive Veränderungen auf globaler Ebene voranzutreiben.</w:t>
      </w:r>
    </w:p>
    <w:p w14:paraId="3C7D6EBB" w14:textId="77777777" w:rsidR="00C33F24" w:rsidRDefault="00C33F24" w:rsidP="007E66D7">
      <w:pPr>
        <w:spacing w:before="240" w:after="200" w:line="360" w:lineRule="auto"/>
        <w:rPr>
          <w:rFonts w:ascii="Tahoma" w:hAnsi="Tahoma"/>
          <w:iCs/>
          <w:sz w:val="22"/>
          <w:szCs w:val="22"/>
        </w:rPr>
      </w:pPr>
    </w:p>
    <w:tbl>
      <w:tblPr>
        <w:tblStyle w:val="Tabellenraster"/>
        <w:tblW w:w="0" w:type="auto"/>
        <w:tblLook w:val="04A0" w:firstRow="1" w:lastRow="0" w:firstColumn="1" w:lastColumn="0" w:noHBand="0" w:noVBand="1"/>
      </w:tblPr>
      <w:tblGrid>
        <w:gridCol w:w="9969"/>
      </w:tblGrid>
      <w:tr w:rsidR="00AA4EA3" w:rsidRPr="005912AD" w14:paraId="525258EC" w14:textId="77777777" w:rsidTr="00860359">
        <w:tc>
          <w:tcPr>
            <w:tcW w:w="9969" w:type="dxa"/>
          </w:tcPr>
          <w:p w14:paraId="27A65DAA" w14:textId="77777777" w:rsidR="00AA4EA3" w:rsidRPr="00AA4EA3" w:rsidRDefault="00AA4EA3" w:rsidP="00860359">
            <w:pPr>
              <w:spacing w:before="240" w:after="200" w:line="360" w:lineRule="auto"/>
              <w:rPr>
                <w:rFonts w:ascii="Tahoma" w:hAnsi="Tahoma" w:cs="Tahoma"/>
                <w:b/>
                <w:bCs/>
                <w:color w:val="000000" w:themeColor="text1"/>
                <w:sz w:val="22"/>
                <w:szCs w:val="22"/>
              </w:rPr>
            </w:pPr>
            <w:r>
              <w:rPr>
                <w:rFonts w:ascii="Tahoma" w:hAnsi="Tahoma"/>
                <w:b/>
                <w:color w:val="000000" w:themeColor="text1"/>
                <w:sz w:val="22"/>
              </w:rPr>
              <w:t>INFO-BOX:</w:t>
            </w:r>
          </w:p>
          <w:p w14:paraId="7F289112" w14:textId="55E5DFE6" w:rsidR="00AA4EA3" w:rsidRPr="00116651" w:rsidRDefault="00816E94" w:rsidP="00860359">
            <w:pPr>
              <w:spacing w:before="240" w:after="200" w:line="360" w:lineRule="auto"/>
              <w:rPr>
                <w:rFonts w:ascii="Tahoma" w:hAnsi="Tahoma" w:cs="Tahoma"/>
                <w:b/>
                <w:bCs/>
                <w:color w:val="000000" w:themeColor="text1"/>
                <w:sz w:val="22"/>
                <w:szCs w:val="22"/>
              </w:rPr>
            </w:pPr>
            <w:r>
              <w:rPr>
                <w:rFonts w:ascii="Tahoma" w:hAnsi="Tahoma"/>
                <w:b/>
                <w:color w:val="000000" w:themeColor="text1"/>
                <w:sz w:val="22"/>
              </w:rPr>
              <w:t xml:space="preserve">Industrial Refrigeration Network (IRN): </w:t>
            </w:r>
            <w:hyperlink r:id="rId11" w:history="1">
              <w:r>
                <w:rPr>
                  <w:rStyle w:val="Hyperlink"/>
                  <w:rFonts w:ascii="Tahoma" w:hAnsi="Tahoma"/>
                </w:rPr>
                <w:t>Industrial Refrigeration Network (IRN) (bitzer.de)</w:t>
              </w:r>
            </w:hyperlink>
            <w:r>
              <w:rPr>
                <w:rFonts w:ascii="Tahoma" w:hAnsi="Tahoma"/>
                <w:b/>
                <w:color w:val="000000" w:themeColor="text1"/>
                <w:sz w:val="22"/>
              </w:rPr>
              <w:br/>
            </w:r>
            <w:r>
              <w:rPr>
                <w:rFonts w:ascii="Tahoma" w:hAnsi="Tahoma"/>
                <w:color w:val="000000" w:themeColor="text1"/>
                <w:sz w:val="22"/>
              </w:rPr>
              <w:t>Ziel des neu gegründeten IRN ist es, europaweit den Einsatz natürlicher Kältemittel als umweltfreundliche Lösung für die industrielle Kältetechnik zu fördern. Es geht um die Schaffung einer Plattform für Vordenker der Industriekälte unter Einbindung der verschiedenen Stakeholder der Branche – von Endverbrauchern über Auftragnehmer, Monteure, Berater, Planer und Erstausrüster bis hin zu Wissenschaftlern. Die erste von der Industrie gesponserte Konferenz des Netzwerks mit etwa 90 Teilnehmern fand am 6. und 7. Juni 2024 in Rottenburg statt.</w:t>
            </w:r>
            <w:r>
              <w:rPr>
                <w:rFonts w:ascii="Tahoma" w:hAnsi="Tahoma"/>
                <w:color w:val="000000" w:themeColor="text1"/>
                <w:sz w:val="22"/>
              </w:rPr>
              <w:br/>
              <w:t>Kontakt: Volker Stamer (volker.stamer@bitzer.de), Bernhard Blaeser (bernhard.blaeser@bitzer.de)</w:t>
            </w:r>
          </w:p>
        </w:tc>
      </w:tr>
    </w:tbl>
    <w:p w14:paraId="25A78BAE" w14:textId="77777777" w:rsidR="00AA4EA3" w:rsidRDefault="00AA4EA3" w:rsidP="007E66D7">
      <w:pPr>
        <w:spacing w:before="240" w:after="200" w:line="360" w:lineRule="auto"/>
        <w:rPr>
          <w:rFonts w:ascii="Tahoma" w:hAnsi="Tahoma"/>
          <w:iCs/>
          <w:sz w:val="22"/>
          <w:szCs w:val="22"/>
        </w:rPr>
      </w:pPr>
    </w:p>
    <w:p w14:paraId="360B1060" w14:textId="77777777" w:rsidR="00C33F24" w:rsidRDefault="00C33F24" w:rsidP="007E66D7">
      <w:pPr>
        <w:spacing w:before="240" w:after="200" w:line="360" w:lineRule="auto"/>
        <w:rPr>
          <w:rFonts w:ascii="Tahoma" w:hAnsi="Tahoma"/>
          <w:iCs/>
          <w:sz w:val="22"/>
          <w:szCs w:val="22"/>
        </w:rPr>
      </w:pPr>
    </w:p>
    <w:p w14:paraId="09718EC6" w14:textId="77777777" w:rsidR="00C33F24" w:rsidRDefault="00C33F24" w:rsidP="007E66D7">
      <w:pPr>
        <w:spacing w:before="240" w:after="200" w:line="360" w:lineRule="auto"/>
        <w:rPr>
          <w:rFonts w:ascii="Tahoma" w:hAnsi="Tahoma"/>
          <w:iCs/>
          <w:sz w:val="22"/>
          <w:szCs w:val="22"/>
        </w:rPr>
      </w:pPr>
    </w:p>
    <w:p w14:paraId="78AD0504" w14:textId="77777777" w:rsidR="00C33F24" w:rsidRPr="00973279" w:rsidRDefault="00C33F24" w:rsidP="007E66D7">
      <w:pPr>
        <w:spacing w:before="240" w:after="200" w:line="360" w:lineRule="auto"/>
        <w:rPr>
          <w:rFonts w:ascii="Tahoma" w:hAnsi="Tahoma"/>
          <w:iCs/>
          <w:sz w:val="22"/>
          <w:szCs w:val="22"/>
        </w:rPr>
      </w:pPr>
    </w:p>
    <w:p w14:paraId="7F6DEAD1" w14:textId="77777777" w:rsidR="007A0A06" w:rsidRPr="00973279" w:rsidRDefault="007A0A06" w:rsidP="007A0A06">
      <w:pPr>
        <w:spacing w:line="360" w:lineRule="auto"/>
        <w:ind w:right="112"/>
        <w:jc w:val="center"/>
        <w:rPr>
          <w:rFonts w:ascii="Arial" w:hAnsi="Arial"/>
          <w:sz w:val="22"/>
        </w:rPr>
      </w:pPr>
    </w:p>
    <w:p w14:paraId="36D657F3" w14:textId="77777777" w:rsidR="007A0A06" w:rsidRPr="00BE3F2A" w:rsidRDefault="007A0A06" w:rsidP="007A0A06">
      <w:pPr>
        <w:spacing w:line="360" w:lineRule="auto"/>
        <w:ind w:right="112"/>
        <w:jc w:val="center"/>
        <w:rPr>
          <w:rFonts w:ascii="Arial" w:hAnsi="Arial"/>
          <w:sz w:val="22"/>
        </w:rPr>
      </w:pPr>
      <w:r>
        <w:rPr>
          <w:rFonts w:ascii="Arial" w:hAnsi="Arial"/>
          <w:sz w:val="22"/>
        </w:rPr>
        <w:lastRenderedPageBreak/>
        <w:t>■</w:t>
      </w:r>
    </w:p>
    <w:p w14:paraId="57F8E137" w14:textId="77777777" w:rsidR="007A0A06" w:rsidRPr="00973279" w:rsidRDefault="007A0A06" w:rsidP="007A0A06">
      <w:pPr>
        <w:spacing w:line="360" w:lineRule="auto"/>
        <w:ind w:right="112"/>
        <w:rPr>
          <w:rFonts w:ascii="Tahoma" w:hAnsi="Tahoma"/>
          <w:sz w:val="22"/>
        </w:rPr>
      </w:pPr>
    </w:p>
    <w:p w14:paraId="7A12FD6D" w14:textId="77777777" w:rsidR="00C33F24" w:rsidRPr="00F64F82" w:rsidRDefault="00C33F24" w:rsidP="00C33F24">
      <w:pPr>
        <w:spacing w:line="360" w:lineRule="auto"/>
        <w:ind w:right="112"/>
        <w:jc w:val="both"/>
        <w:rPr>
          <w:rFonts w:ascii="Tahoma" w:hAnsi="Tahoma"/>
          <w:sz w:val="20"/>
        </w:rPr>
      </w:pPr>
      <w:bookmarkStart w:id="11" w:name="_Hlk18063907"/>
      <w:r>
        <w:rPr>
          <w:rFonts w:ascii="Tahoma" w:hAnsi="Tahoma"/>
          <w:sz w:val="20"/>
        </w:rPr>
        <w:t>Als unabhängiger Spezialist für Kälte- und Klimatechnik sowie Wärmepumpentechnologie ist BITZER weltweit im Einsatz: Mit Produkten und Dienstleistungen für Kältetechnik, Klimatisierung, Prozesskühlung und Transport sorgt BITZER für optimale Temperaturbedingungen in Warenhandel, Industrieprozessen und Raumklimatisierung – immer vor dem Hintergrund größtmöglicher Energieeffizienz und Qualität. Mit Vertriebsgesellschaften und Produktionsstätten ist die BITZER Firmengruppe weltweit an 75 Standorten in 40 Ländern vertreten. Inklusive Handels- und Dienstleistungspartnern erstreckt sich der Fertigungs-, Entwicklungs- und Vertriebsverbund von BITZER über fast alle Länder der Welt. Im Jahr 2023 erwirtschafteten mehr als 4300 Mitarbeitende einen Umsatz von 1,01 Milliarden Euro, der Aufwand für Forschung und Entwicklung lag bei 61 Millionen Euro.</w:t>
      </w:r>
      <w:bookmarkEnd w:id="11"/>
    </w:p>
    <w:p w14:paraId="420A765E" w14:textId="77777777" w:rsidR="007A0A06" w:rsidRPr="00973279" w:rsidRDefault="007A0A06" w:rsidP="007A0A06">
      <w:pPr>
        <w:spacing w:line="360" w:lineRule="auto"/>
        <w:ind w:right="112"/>
        <w:jc w:val="both"/>
        <w:rPr>
          <w:rFonts w:ascii="Tahoma" w:hAnsi="Tahoma"/>
          <w:sz w:val="20"/>
        </w:rPr>
      </w:pPr>
    </w:p>
    <w:p w14:paraId="712558A1" w14:textId="77777777" w:rsidR="00DF6E23" w:rsidRPr="000E1FA9" w:rsidRDefault="001F5338" w:rsidP="00DF6E23">
      <w:pPr>
        <w:spacing w:line="360" w:lineRule="auto"/>
        <w:ind w:right="112"/>
        <w:jc w:val="both"/>
        <w:rPr>
          <w:rFonts w:ascii="Tahoma" w:hAnsi="Tahoma"/>
          <w:sz w:val="20"/>
        </w:rPr>
      </w:pPr>
      <w:hyperlink r:id="rId12" w:history="1">
        <w:r w:rsidR="00AD76F7">
          <w:rPr>
            <w:rStyle w:val="Hyperlink"/>
            <w:rFonts w:ascii="Tahoma" w:hAnsi="Tahoma"/>
            <w:sz w:val="20"/>
          </w:rPr>
          <w:t>www.bitzer.de</w:t>
        </w:r>
      </w:hyperlink>
    </w:p>
    <w:p w14:paraId="109F2D87" w14:textId="77777777" w:rsidR="007A0A06" w:rsidRPr="00973279" w:rsidRDefault="007A0A06" w:rsidP="007A0A06">
      <w:pPr>
        <w:spacing w:line="360" w:lineRule="auto"/>
        <w:ind w:right="112"/>
        <w:jc w:val="both"/>
        <w:rPr>
          <w:rFonts w:ascii="Tahoma" w:hAnsi="Tahoma"/>
          <w:sz w:val="20"/>
        </w:rPr>
      </w:pPr>
    </w:p>
    <w:p w14:paraId="44708BB2" w14:textId="77777777" w:rsidR="000E1FA9" w:rsidRPr="000E1FA9" w:rsidRDefault="000E1FA9" w:rsidP="000E1FA9">
      <w:pPr>
        <w:spacing w:line="360" w:lineRule="auto"/>
        <w:ind w:right="112"/>
        <w:jc w:val="both"/>
        <w:rPr>
          <w:rFonts w:ascii="Tahoma" w:hAnsi="Tahoma"/>
          <w:sz w:val="20"/>
        </w:rPr>
      </w:pPr>
      <w:r>
        <w:rPr>
          <w:rFonts w:ascii="Tahoma" w:hAnsi="Tahoma"/>
          <w:b/>
          <w:sz w:val="20"/>
        </w:rPr>
        <w:t>Bildübersicht</w:t>
      </w:r>
    </w:p>
    <w:p w14:paraId="2CAC0E7F" w14:textId="77777777" w:rsidR="000E1FA9" w:rsidRPr="000E1FA9" w:rsidRDefault="000E1FA9" w:rsidP="000E1FA9">
      <w:pPr>
        <w:spacing w:line="360" w:lineRule="auto"/>
        <w:ind w:right="112"/>
        <w:jc w:val="both"/>
        <w:rPr>
          <w:rFonts w:ascii="Tahoma" w:hAnsi="Tahoma"/>
          <w:sz w:val="20"/>
        </w:rPr>
      </w:pPr>
      <w:r>
        <w:rPr>
          <w:rFonts w:ascii="Tahoma" w:hAnsi="Tahoma"/>
          <w:sz w:val="20"/>
        </w:rPr>
        <w:t>Die Bildmotive dürfen nur zu redaktionellen Zwecken genutzt werden. Die Verwendung ist honorarfrei bei Quellenangabe „Foto: BITZER“ und Übersendung eines kostenlosen Belegexemplars an uns. Grafische Veränderungen – außer zum Freistellen des Hauptmotivs – sind nicht gestattet.</w:t>
      </w:r>
    </w:p>
    <w:p w14:paraId="5FB4E804" w14:textId="77777777" w:rsidR="000E1FA9" w:rsidRPr="00973279" w:rsidRDefault="000E1FA9" w:rsidP="000E1FA9">
      <w:pPr>
        <w:spacing w:line="360" w:lineRule="auto"/>
        <w:ind w:right="112"/>
        <w:rPr>
          <w:rFonts w:ascii="Tahoma" w:hAnsi="Tahoma"/>
          <w:sz w:val="22"/>
        </w:rPr>
      </w:pPr>
    </w:p>
    <w:p w14:paraId="1268B978" w14:textId="2336307E" w:rsidR="00B4500A" w:rsidRPr="005912AD" w:rsidRDefault="00793C99" w:rsidP="00E45097">
      <w:pPr>
        <w:spacing w:before="240" w:line="360" w:lineRule="auto"/>
        <w:rPr>
          <w:rFonts w:ascii="Tahoma" w:hAnsi="Tahoma"/>
          <w:sz w:val="22"/>
        </w:rPr>
      </w:pPr>
      <w:r>
        <w:rPr>
          <w:noProof/>
        </w:rPr>
        <w:drawing>
          <wp:inline distT="0" distB="0" distL="0" distR="0" wp14:anchorId="7750DB50" wp14:editId="5C11B784">
            <wp:extent cx="2184400" cy="3274094"/>
            <wp:effectExtent l="0" t="0" r="6350" b="2540"/>
            <wp:docPr id="1844563130" name="Grafik 1" descr="Ein Bild, das Menschliches Gesicht, Lächeln, Person, Shir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563130" name="Grafik 1" descr="Ein Bild, das Menschliches Gesicht, Lächeln, Person, Shirt enthält.&#10;&#10;Automatisch generierte Beschreibun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2193282" cy="3287406"/>
                    </a:xfrm>
                    <a:prstGeom prst="rect">
                      <a:avLst/>
                    </a:prstGeom>
                    <a:noFill/>
                    <a:ln>
                      <a:noFill/>
                    </a:ln>
                  </pic:spPr>
                </pic:pic>
              </a:graphicData>
            </a:graphic>
          </wp:inline>
        </w:drawing>
      </w:r>
    </w:p>
    <w:p w14:paraId="435EE985" w14:textId="53186D23" w:rsidR="005870D2" w:rsidRDefault="0017760C" w:rsidP="00E45097">
      <w:pPr>
        <w:spacing w:before="240" w:line="360" w:lineRule="auto"/>
        <w:rPr>
          <w:rFonts w:ascii="Tahoma" w:hAnsi="Tahoma"/>
          <w:sz w:val="22"/>
        </w:rPr>
      </w:pPr>
      <w:r>
        <w:rPr>
          <w:rFonts w:ascii="Tahoma" w:hAnsi="Tahoma"/>
          <w:sz w:val="22"/>
        </w:rPr>
        <w:t>Bild 1: Dawie Kriel</w:t>
      </w:r>
    </w:p>
    <w:p w14:paraId="3E460CE7" w14:textId="093A571F" w:rsidR="0017760C" w:rsidRDefault="00A629EF" w:rsidP="00E45097">
      <w:pPr>
        <w:spacing w:before="240" w:line="360" w:lineRule="auto"/>
        <w:rPr>
          <w:rFonts w:ascii="Tahoma" w:hAnsi="Tahoma"/>
          <w:sz w:val="22"/>
        </w:rPr>
      </w:pPr>
      <w:r>
        <w:rPr>
          <w:noProof/>
        </w:rPr>
        <w:lastRenderedPageBreak/>
        <w:drawing>
          <wp:inline distT="0" distB="0" distL="0" distR="0" wp14:anchorId="01B2E218" wp14:editId="31E8E38C">
            <wp:extent cx="5599474" cy="3149600"/>
            <wp:effectExtent l="0" t="0" r="1270" b="0"/>
            <wp:docPr id="454899418" name="Grafik 1" descr="Ein Bild, das Kleidung, Mann, Person, Im Haus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899418" name="Grafik 1" descr="Ein Bild, das Kleidung, Mann, Person, Im Haus enthält.&#10;&#10;Automatisch generierte Beschreibung"/>
                    <pic:cNvPicPr>
                      <a:picLocks noChangeAspect="1" noChangeArrowheads="1"/>
                    </pic:cNvPicPr>
                  </pic:nvPicPr>
                  <pic:blipFill>
                    <a:blip r:embed="rId14" cstate="screen">
                      <a:extLst>
                        <a:ext uri="{28A0092B-C50C-407E-A947-70E740481C1C}">
                          <a14:useLocalDpi xmlns:a14="http://schemas.microsoft.com/office/drawing/2010/main"/>
                        </a:ext>
                      </a:extLst>
                    </a:blip>
                    <a:srcRect/>
                    <a:stretch>
                      <a:fillRect/>
                    </a:stretch>
                  </pic:blipFill>
                  <pic:spPr bwMode="auto">
                    <a:xfrm>
                      <a:off x="0" y="0"/>
                      <a:ext cx="5608866" cy="3154883"/>
                    </a:xfrm>
                    <a:prstGeom prst="rect">
                      <a:avLst/>
                    </a:prstGeom>
                    <a:noFill/>
                    <a:ln>
                      <a:noFill/>
                    </a:ln>
                  </pic:spPr>
                </pic:pic>
              </a:graphicData>
            </a:graphic>
          </wp:inline>
        </w:drawing>
      </w:r>
    </w:p>
    <w:p w14:paraId="61B78260" w14:textId="58118BD8" w:rsidR="00C33F24" w:rsidRDefault="0017760C" w:rsidP="00E45097">
      <w:pPr>
        <w:spacing w:before="240" w:line="360" w:lineRule="auto"/>
        <w:rPr>
          <w:rFonts w:ascii="Tahoma" w:hAnsi="Tahoma"/>
          <w:sz w:val="22"/>
        </w:rPr>
      </w:pPr>
      <w:r>
        <w:rPr>
          <w:rFonts w:ascii="Tahoma" w:hAnsi="Tahoma"/>
          <w:sz w:val="22"/>
        </w:rPr>
        <w:t xml:space="preserve">Bild 2: Das erste Industrial Refrigeration Network fand in der SCHAUFLER Academy in Rottenburg-Ergenzingen statt </w:t>
      </w:r>
    </w:p>
    <w:p w14:paraId="12D315B5" w14:textId="77777777" w:rsidR="00C33F24" w:rsidRPr="0017760C" w:rsidRDefault="00C33F24" w:rsidP="00E45097">
      <w:pPr>
        <w:spacing w:before="240" w:line="360" w:lineRule="auto"/>
        <w:rPr>
          <w:rFonts w:ascii="Tahoma" w:hAnsi="Tahoma"/>
          <w:sz w:val="22"/>
        </w:rPr>
      </w:pPr>
    </w:p>
    <w:p w14:paraId="743743F5" w14:textId="77777777" w:rsidR="00C33F24" w:rsidRDefault="00C33F24" w:rsidP="00C33F24">
      <w:r>
        <w:rPr>
          <w:noProof/>
        </w:rPr>
        <w:drawing>
          <wp:inline distT="0" distB="0" distL="0" distR="0" wp14:anchorId="693C3D5C" wp14:editId="489C5EAD">
            <wp:extent cx="4953000" cy="3309114"/>
            <wp:effectExtent l="0" t="0" r="0" b="5715"/>
            <wp:docPr id="1842459967" name="Grafik 3" descr="Ein Bild, das Bautechnik, Im Haus, Maschine, Industrie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2459967" name="Grafik 3" descr="Ein Bild, das Bautechnik, Im Haus, Maschine, Industrie enthält.&#10;&#10;Automatisch generierte Beschreibung"/>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4979292" cy="3326680"/>
                    </a:xfrm>
                    <a:prstGeom prst="rect">
                      <a:avLst/>
                    </a:prstGeom>
                    <a:noFill/>
                    <a:ln>
                      <a:noFill/>
                    </a:ln>
                  </pic:spPr>
                </pic:pic>
              </a:graphicData>
            </a:graphic>
          </wp:inline>
        </w:drawing>
      </w:r>
    </w:p>
    <w:p w14:paraId="654B8308" w14:textId="77777777" w:rsidR="00C33F24" w:rsidRDefault="00C33F24" w:rsidP="00C33F24"/>
    <w:p w14:paraId="694198B6" w14:textId="07370871" w:rsidR="003408EB" w:rsidRPr="00EC0D78" w:rsidRDefault="003408EB" w:rsidP="00C33F24">
      <w:pPr>
        <w:spacing w:line="360" w:lineRule="auto"/>
        <w:rPr>
          <w:rFonts w:ascii="Tahoma" w:hAnsi="Tahoma"/>
          <w:sz w:val="22"/>
        </w:rPr>
      </w:pPr>
      <w:r>
        <w:rPr>
          <w:rFonts w:ascii="Tahoma" w:hAnsi="Tahoma"/>
          <w:sz w:val="22"/>
        </w:rPr>
        <w:t xml:space="preserve">Bild 3: CaaS-Projekt – Ammoniak-Kälteanlage in einer Geflügelproduktionsanlage von Sovereign Foods, Südafrika </w:t>
      </w:r>
      <w:r>
        <w:rPr>
          <w:rFonts w:ascii="Tahoma" w:hAnsi="Tahoma"/>
          <w:sz w:val="22"/>
        </w:rPr>
        <w:br/>
        <w:t>Foto: Energy Partners</w:t>
      </w:r>
    </w:p>
    <w:p w14:paraId="569F51A6" w14:textId="1AAB453C" w:rsidR="008C43A3" w:rsidRDefault="00427A59" w:rsidP="00E45097">
      <w:pPr>
        <w:spacing w:before="240" w:line="360" w:lineRule="auto"/>
        <w:rPr>
          <w:rFonts w:ascii="Tahoma" w:hAnsi="Tahoma"/>
          <w:sz w:val="22"/>
        </w:rPr>
      </w:pPr>
      <w:r>
        <w:rPr>
          <w:noProof/>
        </w:rPr>
        <w:lastRenderedPageBreak/>
        <w:drawing>
          <wp:inline distT="0" distB="0" distL="0" distR="0" wp14:anchorId="6C620F45" wp14:editId="58FBA2AB">
            <wp:extent cx="4781550" cy="3588438"/>
            <wp:effectExtent l="0" t="0" r="0" b="0"/>
            <wp:docPr id="374885505" name="Grafik 2" descr="Ein Bild, das Industrie, Maschine, Im Haus, Bautechnik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885505" name="Grafik 2" descr="Ein Bild, das Industrie, Maschine, Im Haus, Bautechnik enthält.&#10;&#10;Automatisch generierte Beschreibung"/>
                    <pic:cNvPicPr>
                      <a:picLocks noChangeAspect="1" noChangeArrowheads="1"/>
                    </pic:cNvPicPr>
                  </pic:nvPicPr>
                  <pic:blipFill>
                    <a:blip r:embed="rId16" cstate="screen">
                      <a:extLst>
                        <a:ext uri="{28A0092B-C50C-407E-A947-70E740481C1C}">
                          <a14:useLocalDpi xmlns:a14="http://schemas.microsoft.com/office/drawing/2010/main"/>
                        </a:ext>
                      </a:extLst>
                    </a:blip>
                    <a:srcRect/>
                    <a:stretch>
                      <a:fillRect/>
                    </a:stretch>
                  </pic:blipFill>
                  <pic:spPr bwMode="auto">
                    <a:xfrm>
                      <a:off x="0" y="0"/>
                      <a:ext cx="4797232" cy="3600207"/>
                    </a:xfrm>
                    <a:prstGeom prst="rect">
                      <a:avLst/>
                    </a:prstGeom>
                    <a:noFill/>
                    <a:ln>
                      <a:noFill/>
                    </a:ln>
                  </pic:spPr>
                </pic:pic>
              </a:graphicData>
            </a:graphic>
          </wp:inline>
        </w:drawing>
      </w:r>
    </w:p>
    <w:p w14:paraId="3B0E3817" w14:textId="452439D2" w:rsidR="00427A59" w:rsidRPr="00347554" w:rsidRDefault="009409BC" w:rsidP="003408EB">
      <w:pPr>
        <w:spacing w:before="240" w:line="360" w:lineRule="auto"/>
        <w:rPr>
          <w:rFonts w:ascii="Tahoma" w:hAnsi="Tahoma"/>
          <w:sz w:val="22"/>
        </w:rPr>
      </w:pPr>
      <w:r>
        <w:rPr>
          <w:rFonts w:ascii="Tahoma" w:hAnsi="Tahoma"/>
          <w:sz w:val="22"/>
        </w:rPr>
        <w:t>Bild 4: CaaS-Projekt – Ammoniak-Kälteanlage in einer Milchverarbeitungsanlage von Clover, Südafrika</w:t>
      </w:r>
      <w:r>
        <w:rPr>
          <w:rFonts w:ascii="Tahoma" w:hAnsi="Tahoma"/>
          <w:sz w:val="22"/>
        </w:rPr>
        <w:br/>
        <w:t>Foto: Energy Partners</w:t>
      </w:r>
    </w:p>
    <w:sectPr w:rsidR="00427A59" w:rsidRPr="00347554" w:rsidSect="00437B8A">
      <w:type w:val="continuous"/>
      <w:pgSz w:w="11906" w:h="16838" w:code="9"/>
      <w:pgMar w:top="1701" w:right="680" w:bottom="1418" w:left="1247" w:header="851" w:footer="709"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10EE3" w14:textId="77777777" w:rsidR="00882CA1" w:rsidRDefault="00882CA1">
      <w:r>
        <w:separator/>
      </w:r>
    </w:p>
  </w:endnote>
  <w:endnote w:type="continuationSeparator" w:id="0">
    <w:p w14:paraId="39703DB1" w14:textId="77777777" w:rsidR="00882CA1" w:rsidRDefault="00882C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2F038" w14:textId="77777777" w:rsidR="00645B53" w:rsidRPr="00E83359" w:rsidRDefault="00645B53">
    <w:pPr>
      <w:pStyle w:val="Fuzeile"/>
    </w:pPr>
  </w:p>
  <w:p w14:paraId="1916656B" w14:textId="77777777" w:rsidR="00645B53" w:rsidRPr="00E83359" w:rsidRDefault="00645B53">
    <w:pPr>
      <w:pStyle w:val="Fuzeile"/>
    </w:pPr>
  </w:p>
  <w:p w14:paraId="0B3D81E1" w14:textId="77777777" w:rsidR="00645B53" w:rsidRPr="00E83359" w:rsidRDefault="00645B53">
    <w:pPr>
      <w:pStyle w:val="Fuzeile"/>
    </w:pPr>
  </w:p>
  <w:p w14:paraId="51AC5D91" w14:textId="77777777" w:rsidR="00645B53" w:rsidRPr="00E83359" w:rsidRDefault="00645B5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64782" w14:textId="77777777" w:rsidR="00882CA1" w:rsidRDefault="00882CA1">
      <w:r>
        <w:separator/>
      </w:r>
    </w:p>
  </w:footnote>
  <w:footnote w:type="continuationSeparator" w:id="0">
    <w:p w14:paraId="5AA036DD" w14:textId="77777777" w:rsidR="00882CA1" w:rsidRDefault="00882C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16351" w14:textId="61127FE5" w:rsidR="00226038" w:rsidRPr="007F11B8" w:rsidRDefault="00226038" w:rsidP="00226038">
    <w:pPr>
      <w:pStyle w:val="Kopfzeile"/>
      <w:rPr>
        <w:rFonts w:ascii="Tahoma" w:hAnsi="Tahoma" w:cs="Tahoma"/>
        <w:sz w:val="22"/>
        <w:szCs w:val="22"/>
      </w:rPr>
    </w:pPr>
    <w:r>
      <w:rPr>
        <w:rFonts w:ascii="Tahoma" w:hAnsi="Tahoma"/>
        <w:noProof/>
        <w:sz w:val="22"/>
      </w:rPr>
      <w:drawing>
        <wp:anchor distT="0" distB="0" distL="114300" distR="114300" simplePos="0" relativeHeight="251659264" behindDoc="0" locked="1" layoutInCell="1" allowOverlap="1" wp14:anchorId="19BC22CC" wp14:editId="618FB610">
          <wp:simplePos x="0" y="0"/>
          <wp:positionH relativeFrom="margin">
            <wp:posOffset>3976370</wp:posOffset>
          </wp:positionH>
          <wp:positionV relativeFrom="page">
            <wp:posOffset>428625</wp:posOffset>
          </wp:positionV>
          <wp:extent cx="1638000" cy="576000"/>
          <wp:effectExtent l="0" t="0" r="635" b="0"/>
          <wp:wrapNone/>
          <wp:docPr id="1" name="Bild 38" descr="Bitzer Stern 1c black 9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Bitzer Stern 1c black 9cm"/>
                  <pic:cNvPicPr>
                    <a:picLocks noChangeAspect="1" noChangeArrowheads="1"/>
                  </pic:cNvPicPr>
                </pic:nvPicPr>
                <pic:blipFill>
                  <a:blip r:embed="rId1"/>
                  <a:srcRect/>
                  <a:stretch>
                    <a:fillRect/>
                  </a:stretch>
                </pic:blipFill>
                <pic:spPr bwMode="auto">
                  <a:xfrm>
                    <a:off x="0" y="0"/>
                    <a:ext cx="1638000" cy="5760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973279">
      <w:rPr>
        <w:rFonts w:ascii="Tahoma" w:hAnsi="Tahoma"/>
        <w:b/>
        <w:sz w:val="40"/>
      </w:rPr>
      <w:t>Fachartikel</w:t>
    </w:r>
  </w:p>
  <w:p w14:paraId="39FDBB61" w14:textId="77777777" w:rsidR="00226038" w:rsidRPr="00226038" w:rsidRDefault="00226038" w:rsidP="0022603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F53246" w14:textId="77777777" w:rsidR="00645B53" w:rsidRDefault="00645B53">
    <w:pPr>
      <w:pStyle w:val="Kopfzeile"/>
    </w:pPr>
    <w:r>
      <w:rPr>
        <w:rFonts w:ascii="Tahoma" w:hAnsi="Tahoma"/>
        <w:b/>
        <w:sz w:val="40"/>
      </w:rPr>
      <w:t>Pressemitteilung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0DB7"/>
    <w:rsid w:val="00000C01"/>
    <w:rsid w:val="000057AA"/>
    <w:rsid w:val="00021C11"/>
    <w:rsid w:val="00025EE3"/>
    <w:rsid w:val="00031570"/>
    <w:rsid w:val="00036060"/>
    <w:rsid w:val="000409B4"/>
    <w:rsid w:val="00040A41"/>
    <w:rsid w:val="000423F4"/>
    <w:rsid w:val="000441ED"/>
    <w:rsid w:val="000442A3"/>
    <w:rsid w:val="000460FB"/>
    <w:rsid w:val="0005150B"/>
    <w:rsid w:val="000602AD"/>
    <w:rsid w:val="00061C0D"/>
    <w:rsid w:val="00062A38"/>
    <w:rsid w:val="0006421A"/>
    <w:rsid w:val="000656FB"/>
    <w:rsid w:val="0007629A"/>
    <w:rsid w:val="0007739C"/>
    <w:rsid w:val="00077409"/>
    <w:rsid w:val="00081310"/>
    <w:rsid w:val="00085D60"/>
    <w:rsid w:val="000A520F"/>
    <w:rsid w:val="000A65B7"/>
    <w:rsid w:val="000A679F"/>
    <w:rsid w:val="000B079A"/>
    <w:rsid w:val="000D1CC3"/>
    <w:rsid w:val="000D2EF1"/>
    <w:rsid w:val="000D3D1D"/>
    <w:rsid w:val="000D55D8"/>
    <w:rsid w:val="000D6DEC"/>
    <w:rsid w:val="000E1FA9"/>
    <w:rsid w:val="000E6FF0"/>
    <w:rsid w:val="000F3117"/>
    <w:rsid w:val="000F5820"/>
    <w:rsid w:val="0011150B"/>
    <w:rsid w:val="00113BB8"/>
    <w:rsid w:val="00116651"/>
    <w:rsid w:val="00121973"/>
    <w:rsid w:val="00126449"/>
    <w:rsid w:val="00130373"/>
    <w:rsid w:val="00135CE0"/>
    <w:rsid w:val="001428DF"/>
    <w:rsid w:val="00143A8C"/>
    <w:rsid w:val="0014616F"/>
    <w:rsid w:val="001521BD"/>
    <w:rsid w:val="0015393A"/>
    <w:rsid w:val="00160CEB"/>
    <w:rsid w:val="00167C41"/>
    <w:rsid w:val="001701E7"/>
    <w:rsid w:val="00170992"/>
    <w:rsid w:val="00171500"/>
    <w:rsid w:val="0017760C"/>
    <w:rsid w:val="00180E8B"/>
    <w:rsid w:val="00182AD4"/>
    <w:rsid w:val="00183A3C"/>
    <w:rsid w:val="001856FD"/>
    <w:rsid w:val="00190ED0"/>
    <w:rsid w:val="001916AE"/>
    <w:rsid w:val="00193FBA"/>
    <w:rsid w:val="00194C54"/>
    <w:rsid w:val="00196CF7"/>
    <w:rsid w:val="001A225A"/>
    <w:rsid w:val="001A4EC0"/>
    <w:rsid w:val="001B193F"/>
    <w:rsid w:val="001B2BB6"/>
    <w:rsid w:val="001B492B"/>
    <w:rsid w:val="001B6524"/>
    <w:rsid w:val="001C08C3"/>
    <w:rsid w:val="001C2261"/>
    <w:rsid w:val="001C2E28"/>
    <w:rsid w:val="001C4790"/>
    <w:rsid w:val="001C4898"/>
    <w:rsid w:val="001C6A10"/>
    <w:rsid w:val="001D0E9C"/>
    <w:rsid w:val="001D13BA"/>
    <w:rsid w:val="001D6B60"/>
    <w:rsid w:val="001E31FC"/>
    <w:rsid w:val="001E6790"/>
    <w:rsid w:val="001F00FD"/>
    <w:rsid w:val="001F4E09"/>
    <w:rsid w:val="001F5338"/>
    <w:rsid w:val="001F5CE2"/>
    <w:rsid w:val="001F6284"/>
    <w:rsid w:val="001F6F44"/>
    <w:rsid w:val="00201616"/>
    <w:rsid w:val="00201C52"/>
    <w:rsid w:val="00204B27"/>
    <w:rsid w:val="0020626C"/>
    <w:rsid w:val="0020657E"/>
    <w:rsid w:val="00206B86"/>
    <w:rsid w:val="00207FE5"/>
    <w:rsid w:val="002154F0"/>
    <w:rsid w:val="002166DE"/>
    <w:rsid w:val="00222A26"/>
    <w:rsid w:val="0022375C"/>
    <w:rsid w:val="00225895"/>
    <w:rsid w:val="00225DC0"/>
    <w:rsid w:val="00226038"/>
    <w:rsid w:val="00235BB8"/>
    <w:rsid w:val="0024008D"/>
    <w:rsid w:val="00241C57"/>
    <w:rsid w:val="00247B2D"/>
    <w:rsid w:val="002517C1"/>
    <w:rsid w:val="00254BC4"/>
    <w:rsid w:val="00255D48"/>
    <w:rsid w:val="00257374"/>
    <w:rsid w:val="00264F0F"/>
    <w:rsid w:val="002666E8"/>
    <w:rsid w:val="00270CB7"/>
    <w:rsid w:val="00274344"/>
    <w:rsid w:val="002756F1"/>
    <w:rsid w:val="00280B26"/>
    <w:rsid w:val="00281209"/>
    <w:rsid w:val="002841BA"/>
    <w:rsid w:val="00284A7F"/>
    <w:rsid w:val="00285BE8"/>
    <w:rsid w:val="00285BEF"/>
    <w:rsid w:val="00290999"/>
    <w:rsid w:val="00291B00"/>
    <w:rsid w:val="0029333B"/>
    <w:rsid w:val="0029383E"/>
    <w:rsid w:val="00293928"/>
    <w:rsid w:val="00293C93"/>
    <w:rsid w:val="00293E43"/>
    <w:rsid w:val="002953C1"/>
    <w:rsid w:val="00295F52"/>
    <w:rsid w:val="002A149B"/>
    <w:rsid w:val="002A5B80"/>
    <w:rsid w:val="002A7781"/>
    <w:rsid w:val="002A7FD2"/>
    <w:rsid w:val="002B51E0"/>
    <w:rsid w:val="002B5B1A"/>
    <w:rsid w:val="002B6113"/>
    <w:rsid w:val="002B76F2"/>
    <w:rsid w:val="002C3396"/>
    <w:rsid w:val="002C58A0"/>
    <w:rsid w:val="002C5D64"/>
    <w:rsid w:val="002C7729"/>
    <w:rsid w:val="002D2AB0"/>
    <w:rsid w:val="002D4D58"/>
    <w:rsid w:val="002D6259"/>
    <w:rsid w:val="002D728B"/>
    <w:rsid w:val="002E2329"/>
    <w:rsid w:val="002E358F"/>
    <w:rsid w:val="002E7F6A"/>
    <w:rsid w:val="002F5CA4"/>
    <w:rsid w:val="00300918"/>
    <w:rsid w:val="003021A9"/>
    <w:rsid w:val="003043C3"/>
    <w:rsid w:val="00305340"/>
    <w:rsid w:val="003070B2"/>
    <w:rsid w:val="00314EEC"/>
    <w:rsid w:val="00316731"/>
    <w:rsid w:val="0031738B"/>
    <w:rsid w:val="00322D76"/>
    <w:rsid w:val="00322FBA"/>
    <w:rsid w:val="00326961"/>
    <w:rsid w:val="00327419"/>
    <w:rsid w:val="00331A5B"/>
    <w:rsid w:val="003335F5"/>
    <w:rsid w:val="003336A5"/>
    <w:rsid w:val="003340F9"/>
    <w:rsid w:val="003355B8"/>
    <w:rsid w:val="00335F86"/>
    <w:rsid w:val="00336E61"/>
    <w:rsid w:val="00337D79"/>
    <w:rsid w:val="003408EB"/>
    <w:rsid w:val="00340C9D"/>
    <w:rsid w:val="00340F5E"/>
    <w:rsid w:val="003439AA"/>
    <w:rsid w:val="00344581"/>
    <w:rsid w:val="00347554"/>
    <w:rsid w:val="0035779A"/>
    <w:rsid w:val="00361C04"/>
    <w:rsid w:val="00363E5F"/>
    <w:rsid w:val="003645E1"/>
    <w:rsid w:val="003676F2"/>
    <w:rsid w:val="00377544"/>
    <w:rsid w:val="00380BFF"/>
    <w:rsid w:val="00384201"/>
    <w:rsid w:val="00384BE5"/>
    <w:rsid w:val="003913A2"/>
    <w:rsid w:val="00391844"/>
    <w:rsid w:val="0039610D"/>
    <w:rsid w:val="003A62AD"/>
    <w:rsid w:val="003B1723"/>
    <w:rsid w:val="003C0197"/>
    <w:rsid w:val="003C0428"/>
    <w:rsid w:val="003C054B"/>
    <w:rsid w:val="003C06DC"/>
    <w:rsid w:val="003C1AD0"/>
    <w:rsid w:val="003D221B"/>
    <w:rsid w:val="003D6101"/>
    <w:rsid w:val="003E18B3"/>
    <w:rsid w:val="003E2ACE"/>
    <w:rsid w:val="003F18C9"/>
    <w:rsid w:val="003F6E53"/>
    <w:rsid w:val="003F79BB"/>
    <w:rsid w:val="00400593"/>
    <w:rsid w:val="00400B66"/>
    <w:rsid w:val="004016F8"/>
    <w:rsid w:val="00401EBA"/>
    <w:rsid w:val="00403329"/>
    <w:rsid w:val="0040550F"/>
    <w:rsid w:val="00405F17"/>
    <w:rsid w:val="00407917"/>
    <w:rsid w:val="0041097A"/>
    <w:rsid w:val="00426A7C"/>
    <w:rsid w:val="004278ED"/>
    <w:rsid w:val="00427A59"/>
    <w:rsid w:val="004307AB"/>
    <w:rsid w:val="00431BC3"/>
    <w:rsid w:val="00434055"/>
    <w:rsid w:val="00437B8A"/>
    <w:rsid w:val="00452340"/>
    <w:rsid w:val="004538D6"/>
    <w:rsid w:val="00462512"/>
    <w:rsid w:val="00463ED4"/>
    <w:rsid w:val="0046592C"/>
    <w:rsid w:val="00465E4F"/>
    <w:rsid w:val="00472DCD"/>
    <w:rsid w:val="00475056"/>
    <w:rsid w:val="0047622C"/>
    <w:rsid w:val="0048282C"/>
    <w:rsid w:val="00483A02"/>
    <w:rsid w:val="00487195"/>
    <w:rsid w:val="00490452"/>
    <w:rsid w:val="0049198A"/>
    <w:rsid w:val="004942BA"/>
    <w:rsid w:val="00494F9D"/>
    <w:rsid w:val="00495749"/>
    <w:rsid w:val="00495B8D"/>
    <w:rsid w:val="004A0150"/>
    <w:rsid w:val="004A2361"/>
    <w:rsid w:val="004A3FAE"/>
    <w:rsid w:val="004A4C3E"/>
    <w:rsid w:val="004B510C"/>
    <w:rsid w:val="004B56D3"/>
    <w:rsid w:val="004B69B4"/>
    <w:rsid w:val="004C7328"/>
    <w:rsid w:val="004D302B"/>
    <w:rsid w:val="004D3F22"/>
    <w:rsid w:val="004E004D"/>
    <w:rsid w:val="004E212A"/>
    <w:rsid w:val="004E3397"/>
    <w:rsid w:val="004E3B36"/>
    <w:rsid w:val="004F0180"/>
    <w:rsid w:val="004F0AB9"/>
    <w:rsid w:val="004F3C87"/>
    <w:rsid w:val="00502FFE"/>
    <w:rsid w:val="0050749B"/>
    <w:rsid w:val="00515DD7"/>
    <w:rsid w:val="00516009"/>
    <w:rsid w:val="00521B21"/>
    <w:rsid w:val="00522B2A"/>
    <w:rsid w:val="00522CE7"/>
    <w:rsid w:val="0052420D"/>
    <w:rsid w:val="00533135"/>
    <w:rsid w:val="00541476"/>
    <w:rsid w:val="00541E00"/>
    <w:rsid w:val="005435B1"/>
    <w:rsid w:val="00551E05"/>
    <w:rsid w:val="00556FC2"/>
    <w:rsid w:val="00562535"/>
    <w:rsid w:val="00562925"/>
    <w:rsid w:val="00564E39"/>
    <w:rsid w:val="0057281A"/>
    <w:rsid w:val="005742EC"/>
    <w:rsid w:val="005870D2"/>
    <w:rsid w:val="005912AD"/>
    <w:rsid w:val="00592520"/>
    <w:rsid w:val="005A1070"/>
    <w:rsid w:val="005A3906"/>
    <w:rsid w:val="005A48D4"/>
    <w:rsid w:val="005A4C62"/>
    <w:rsid w:val="005A643D"/>
    <w:rsid w:val="005B4BD5"/>
    <w:rsid w:val="005B5254"/>
    <w:rsid w:val="005B6530"/>
    <w:rsid w:val="005B7281"/>
    <w:rsid w:val="005B7BBB"/>
    <w:rsid w:val="005C0D40"/>
    <w:rsid w:val="005C0E80"/>
    <w:rsid w:val="005C3FE9"/>
    <w:rsid w:val="005C6500"/>
    <w:rsid w:val="005C75AD"/>
    <w:rsid w:val="005D1A6F"/>
    <w:rsid w:val="005D25A9"/>
    <w:rsid w:val="005D322B"/>
    <w:rsid w:val="005D3A68"/>
    <w:rsid w:val="005D5ABE"/>
    <w:rsid w:val="005D6A3E"/>
    <w:rsid w:val="005D7B5A"/>
    <w:rsid w:val="005E0524"/>
    <w:rsid w:val="005E09B0"/>
    <w:rsid w:val="005E6EAA"/>
    <w:rsid w:val="005F136A"/>
    <w:rsid w:val="005F2B9C"/>
    <w:rsid w:val="005F2F0C"/>
    <w:rsid w:val="005F633B"/>
    <w:rsid w:val="005F66E7"/>
    <w:rsid w:val="005F76ED"/>
    <w:rsid w:val="006068EA"/>
    <w:rsid w:val="00607BE2"/>
    <w:rsid w:val="006112C8"/>
    <w:rsid w:val="00611C7C"/>
    <w:rsid w:val="0061383F"/>
    <w:rsid w:val="00613A2A"/>
    <w:rsid w:val="00623FFA"/>
    <w:rsid w:val="00626FF4"/>
    <w:rsid w:val="00630B49"/>
    <w:rsid w:val="00633EA5"/>
    <w:rsid w:val="00634F8A"/>
    <w:rsid w:val="00637684"/>
    <w:rsid w:val="00642C7B"/>
    <w:rsid w:val="00644126"/>
    <w:rsid w:val="00645B53"/>
    <w:rsid w:val="00650E8B"/>
    <w:rsid w:val="00651E0C"/>
    <w:rsid w:val="00652EF9"/>
    <w:rsid w:val="006549C8"/>
    <w:rsid w:val="00660386"/>
    <w:rsid w:val="0066668A"/>
    <w:rsid w:val="00667AFE"/>
    <w:rsid w:val="00670355"/>
    <w:rsid w:val="00672604"/>
    <w:rsid w:val="00672FF0"/>
    <w:rsid w:val="0067473B"/>
    <w:rsid w:val="0067707E"/>
    <w:rsid w:val="00682408"/>
    <w:rsid w:val="00690161"/>
    <w:rsid w:val="006910C6"/>
    <w:rsid w:val="00692555"/>
    <w:rsid w:val="00693DDB"/>
    <w:rsid w:val="006970DD"/>
    <w:rsid w:val="006971C9"/>
    <w:rsid w:val="006A77A7"/>
    <w:rsid w:val="006B0B5D"/>
    <w:rsid w:val="006B0E23"/>
    <w:rsid w:val="006B1551"/>
    <w:rsid w:val="006B43C0"/>
    <w:rsid w:val="006C1515"/>
    <w:rsid w:val="006C29CE"/>
    <w:rsid w:val="006C4FCD"/>
    <w:rsid w:val="006C5D69"/>
    <w:rsid w:val="006D79A9"/>
    <w:rsid w:val="006E0B38"/>
    <w:rsid w:val="006E3652"/>
    <w:rsid w:val="006E5B90"/>
    <w:rsid w:val="006E6480"/>
    <w:rsid w:val="006F3880"/>
    <w:rsid w:val="006F5836"/>
    <w:rsid w:val="006F7711"/>
    <w:rsid w:val="007109D3"/>
    <w:rsid w:val="00711836"/>
    <w:rsid w:val="00713600"/>
    <w:rsid w:val="00714D87"/>
    <w:rsid w:val="007157E4"/>
    <w:rsid w:val="00716976"/>
    <w:rsid w:val="00720085"/>
    <w:rsid w:val="007209B4"/>
    <w:rsid w:val="007211A8"/>
    <w:rsid w:val="00721705"/>
    <w:rsid w:val="00721E9E"/>
    <w:rsid w:val="00726433"/>
    <w:rsid w:val="007334EF"/>
    <w:rsid w:val="007364B4"/>
    <w:rsid w:val="00736515"/>
    <w:rsid w:val="00737598"/>
    <w:rsid w:val="00740325"/>
    <w:rsid w:val="007409FC"/>
    <w:rsid w:val="00742FC6"/>
    <w:rsid w:val="007455DC"/>
    <w:rsid w:val="007456C2"/>
    <w:rsid w:val="00750877"/>
    <w:rsid w:val="007547D1"/>
    <w:rsid w:val="00760B81"/>
    <w:rsid w:val="0076673E"/>
    <w:rsid w:val="00771CA4"/>
    <w:rsid w:val="00772550"/>
    <w:rsid w:val="0077798C"/>
    <w:rsid w:val="007849D7"/>
    <w:rsid w:val="007857E4"/>
    <w:rsid w:val="0079164D"/>
    <w:rsid w:val="00793C99"/>
    <w:rsid w:val="007A0A06"/>
    <w:rsid w:val="007A2A0C"/>
    <w:rsid w:val="007A3837"/>
    <w:rsid w:val="007A6DD0"/>
    <w:rsid w:val="007A6F34"/>
    <w:rsid w:val="007B4637"/>
    <w:rsid w:val="007B6FFF"/>
    <w:rsid w:val="007C5021"/>
    <w:rsid w:val="007C6D14"/>
    <w:rsid w:val="007D0D4F"/>
    <w:rsid w:val="007D69C0"/>
    <w:rsid w:val="007D786C"/>
    <w:rsid w:val="007E66D7"/>
    <w:rsid w:val="007F11B8"/>
    <w:rsid w:val="007F20AE"/>
    <w:rsid w:val="007F2695"/>
    <w:rsid w:val="007F3667"/>
    <w:rsid w:val="007F540F"/>
    <w:rsid w:val="007F5A1F"/>
    <w:rsid w:val="00802B96"/>
    <w:rsid w:val="00802FDE"/>
    <w:rsid w:val="00803EE1"/>
    <w:rsid w:val="00805832"/>
    <w:rsid w:val="00813BEC"/>
    <w:rsid w:val="00816E94"/>
    <w:rsid w:val="00820B5A"/>
    <w:rsid w:val="00822082"/>
    <w:rsid w:val="00822319"/>
    <w:rsid w:val="00824B1A"/>
    <w:rsid w:val="00824D65"/>
    <w:rsid w:val="00825475"/>
    <w:rsid w:val="00832545"/>
    <w:rsid w:val="008351C2"/>
    <w:rsid w:val="008361ED"/>
    <w:rsid w:val="00837958"/>
    <w:rsid w:val="00841628"/>
    <w:rsid w:val="00841867"/>
    <w:rsid w:val="00843CB6"/>
    <w:rsid w:val="00847907"/>
    <w:rsid w:val="00847C23"/>
    <w:rsid w:val="008553D0"/>
    <w:rsid w:val="008568B2"/>
    <w:rsid w:val="0086004F"/>
    <w:rsid w:val="0086426B"/>
    <w:rsid w:val="008656A9"/>
    <w:rsid w:val="008727D6"/>
    <w:rsid w:val="008728A6"/>
    <w:rsid w:val="00874A85"/>
    <w:rsid w:val="00882CA1"/>
    <w:rsid w:val="008830DC"/>
    <w:rsid w:val="008853E1"/>
    <w:rsid w:val="00885D9B"/>
    <w:rsid w:val="00891190"/>
    <w:rsid w:val="0089292C"/>
    <w:rsid w:val="00892BC7"/>
    <w:rsid w:val="0089571E"/>
    <w:rsid w:val="008961CD"/>
    <w:rsid w:val="00897DED"/>
    <w:rsid w:val="008A0144"/>
    <w:rsid w:val="008A0781"/>
    <w:rsid w:val="008A140E"/>
    <w:rsid w:val="008A3723"/>
    <w:rsid w:val="008A4C5D"/>
    <w:rsid w:val="008A588A"/>
    <w:rsid w:val="008B4FBE"/>
    <w:rsid w:val="008B6BD0"/>
    <w:rsid w:val="008C43A3"/>
    <w:rsid w:val="008C4A02"/>
    <w:rsid w:val="008C5699"/>
    <w:rsid w:val="008C5ACE"/>
    <w:rsid w:val="008C79A3"/>
    <w:rsid w:val="008D0368"/>
    <w:rsid w:val="008D2714"/>
    <w:rsid w:val="008D32F0"/>
    <w:rsid w:val="008E176B"/>
    <w:rsid w:val="008F0C82"/>
    <w:rsid w:val="008F1E04"/>
    <w:rsid w:val="008F48ED"/>
    <w:rsid w:val="008F6366"/>
    <w:rsid w:val="00903977"/>
    <w:rsid w:val="00910C8D"/>
    <w:rsid w:val="009121B5"/>
    <w:rsid w:val="009122FA"/>
    <w:rsid w:val="00917218"/>
    <w:rsid w:val="009218BD"/>
    <w:rsid w:val="00925CF4"/>
    <w:rsid w:val="00934FA8"/>
    <w:rsid w:val="00935136"/>
    <w:rsid w:val="00936833"/>
    <w:rsid w:val="0094068A"/>
    <w:rsid w:val="009409BC"/>
    <w:rsid w:val="00945326"/>
    <w:rsid w:val="00946C34"/>
    <w:rsid w:val="00950F7B"/>
    <w:rsid w:val="0095104E"/>
    <w:rsid w:val="00951247"/>
    <w:rsid w:val="0095670D"/>
    <w:rsid w:val="00963A81"/>
    <w:rsid w:val="00964D41"/>
    <w:rsid w:val="00965576"/>
    <w:rsid w:val="00967F74"/>
    <w:rsid w:val="009710BC"/>
    <w:rsid w:val="00972F73"/>
    <w:rsid w:val="00973279"/>
    <w:rsid w:val="00974B4B"/>
    <w:rsid w:val="009754AF"/>
    <w:rsid w:val="009754FB"/>
    <w:rsid w:val="00975F6A"/>
    <w:rsid w:val="00977728"/>
    <w:rsid w:val="00980560"/>
    <w:rsid w:val="009819C4"/>
    <w:rsid w:val="00985C1B"/>
    <w:rsid w:val="0099797B"/>
    <w:rsid w:val="009A055E"/>
    <w:rsid w:val="009A1C2D"/>
    <w:rsid w:val="009A567E"/>
    <w:rsid w:val="009A723B"/>
    <w:rsid w:val="009A7EB5"/>
    <w:rsid w:val="009B2064"/>
    <w:rsid w:val="009C3032"/>
    <w:rsid w:val="009C3722"/>
    <w:rsid w:val="009C37D0"/>
    <w:rsid w:val="009C4DF9"/>
    <w:rsid w:val="009D709E"/>
    <w:rsid w:val="009E0503"/>
    <w:rsid w:val="009E3618"/>
    <w:rsid w:val="009E6294"/>
    <w:rsid w:val="009E7B6D"/>
    <w:rsid w:val="009F3237"/>
    <w:rsid w:val="009F503D"/>
    <w:rsid w:val="00A03BE6"/>
    <w:rsid w:val="00A04A46"/>
    <w:rsid w:val="00A061EF"/>
    <w:rsid w:val="00A064E0"/>
    <w:rsid w:val="00A10BE6"/>
    <w:rsid w:val="00A16D4A"/>
    <w:rsid w:val="00A20412"/>
    <w:rsid w:val="00A21563"/>
    <w:rsid w:val="00A25E17"/>
    <w:rsid w:val="00A27B9A"/>
    <w:rsid w:val="00A27FA7"/>
    <w:rsid w:val="00A300F8"/>
    <w:rsid w:val="00A301D2"/>
    <w:rsid w:val="00A308E4"/>
    <w:rsid w:val="00A31F4F"/>
    <w:rsid w:val="00A3228E"/>
    <w:rsid w:val="00A3438B"/>
    <w:rsid w:val="00A40283"/>
    <w:rsid w:val="00A41052"/>
    <w:rsid w:val="00A41E4F"/>
    <w:rsid w:val="00A451EF"/>
    <w:rsid w:val="00A4538B"/>
    <w:rsid w:val="00A46C9B"/>
    <w:rsid w:val="00A475A8"/>
    <w:rsid w:val="00A47887"/>
    <w:rsid w:val="00A47A06"/>
    <w:rsid w:val="00A50406"/>
    <w:rsid w:val="00A509C2"/>
    <w:rsid w:val="00A527AD"/>
    <w:rsid w:val="00A53331"/>
    <w:rsid w:val="00A54B7C"/>
    <w:rsid w:val="00A55378"/>
    <w:rsid w:val="00A629EF"/>
    <w:rsid w:val="00A65067"/>
    <w:rsid w:val="00A719C9"/>
    <w:rsid w:val="00A74F39"/>
    <w:rsid w:val="00A77DB0"/>
    <w:rsid w:val="00A81079"/>
    <w:rsid w:val="00A8705A"/>
    <w:rsid w:val="00A96746"/>
    <w:rsid w:val="00A97E9F"/>
    <w:rsid w:val="00AA01CF"/>
    <w:rsid w:val="00AA08D0"/>
    <w:rsid w:val="00AA1640"/>
    <w:rsid w:val="00AA42A8"/>
    <w:rsid w:val="00AA4EA3"/>
    <w:rsid w:val="00AA7695"/>
    <w:rsid w:val="00AB2D30"/>
    <w:rsid w:val="00AB2D39"/>
    <w:rsid w:val="00AC0C16"/>
    <w:rsid w:val="00AC38AC"/>
    <w:rsid w:val="00AC6C6B"/>
    <w:rsid w:val="00AD2627"/>
    <w:rsid w:val="00AD463A"/>
    <w:rsid w:val="00AD6775"/>
    <w:rsid w:val="00AD76F7"/>
    <w:rsid w:val="00AE523B"/>
    <w:rsid w:val="00AF3AEB"/>
    <w:rsid w:val="00B0169B"/>
    <w:rsid w:val="00B02D44"/>
    <w:rsid w:val="00B03A40"/>
    <w:rsid w:val="00B05DC5"/>
    <w:rsid w:val="00B05FDF"/>
    <w:rsid w:val="00B07B27"/>
    <w:rsid w:val="00B13200"/>
    <w:rsid w:val="00B1384A"/>
    <w:rsid w:val="00B24771"/>
    <w:rsid w:val="00B249BC"/>
    <w:rsid w:val="00B255C5"/>
    <w:rsid w:val="00B26433"/>
    <w:rsid w:val="00B27ADB"/>
    <w:rsid w:val="00B30630"/>
    <w:rsid w:val="00B40482"/>
    <w:rsid w:val="00B42BAC"/>
    <w:rsid w:val="00B44627"/>
    <w:rsid w:val="00B4500A"/>
    <w:rsid w:val="00B457E8"/>
    <w:rsid w:val="00B55A27"/>
    <w:rsid w:val="00B55E7E"/>
    <w:rsid w:val="00B56124"/>
    <w:rsid w:val="00B57D87"/>
    <w:rsid w:val="00B617FC"/>
    <w:rsid w:val="00B664E9"/>
    <w:rsid w:val="00B66E1F"/>
    <w:rsid w:val="00B70B10"/>
    <w:rsid w:val="00B773C3"/>
    <w:rsid w:val="00B84E46"/>
    <w:rsid w:val="00B853BC"/>
    <w:rsid w:val="00B91B1D"/>
    <w:rsid w:val="00B92541"/>
    <w:rsid w:val="00B930AF"/>
    <w:rsid w:val="00B94B8E"/>
    <w:rsid w:val="00BA0DB7"/>
    <w:rsid w:val="00BA56C1"/>
    <w:rsid w:val="00BB4127"/>
    <w:rsid w:val="00BB4461"/>
    <w:rsid w:val="00BC2D0E"/>
    <w:rsid w:val="00BC7885"/>
    <w:rsid w:val="00BC7935"/>
    <w:rsid w:val="00BD1592"/>
    <w:rsid w:val="00BD2991"/>
    <w:rsid w:val="00BD3E38"/>
    <w:rsid w:val="00BD58C8"/>
    <w:rsid w:val="00BE0A8E"/>
    <w:rsid w:val="00BE2377"/>
    <w:rsid w:val="00BE361C"/>
    <w:rsid w:val="00BE3F2A"/>
    <w:rsid w:val="00BE5F04"/>
    <w:rsid w:val="00BE6E02"/>
    <w:rsid w:val="00BF1A9C"/>
    <w:rsid w:val="00BF2C65"/>
    <w:rsid w:val="00BF44D3"/>
    <w:rsid w:val="00BF7A9E"/>
    <w:rsid w:val="00C003C6"/>
    <w:rsid w:val="00C01C49"/>
    <w:rsid w:val="00C0678F"/>
    <w:rsid w:val="00C06812"/>
    <w:rsid w:val="00C06BEA"/>
    <w:rsid w:val="00C0725E"/>
    <w:rsid w:val="00C15A8C"/>
    <w:rsid w:val="00C16125"/>
    <w:rsid w:val="00C17300"/>
    <w:rsid w:val="00C2059F"/>
    <w:rsid w:val="00C24B53"/>
    <w:rsid w:val="00C30020"/>
    <w:rsid w:val="00C302D1"/>
    <w:rsid w:val="00C30C9B"/>
    <w:rsid w:val="00C3181B"/>
    <w:rsid w:val="00C31F50"/>
    <w:rsid w:val="00C32159"/>
    <w:rsid w:val="00C330D4"/>
    <w:rsid w:val="00C33F24"/>
    <w:rsid w:val="00C348D8"/>
    <w:rsid w:val="00C46FF4"/>
    <w:rsid w:val="00C50BA2"/>
    <w:rsid w:val="00C51E9E"/>
    <w:rsid w:val="00C52374"/>
    <w:rsid w:val="00C538BC"/>
    <w:rsid w:val="00C56941"/>
    <w:rsid w:val="00C60EFF"/>
    <w:rsid w:val="00C62592"/>
    <w:rsid w:val="00C63837"/>
    <w:rsid w:val="00C6605B"/>
    <w:rsid w:val="00C81EE3"/>
    <w:rsid w:val="00C822EA"/>
    <w:rsid w:val="00C8237E"/>
    <w:rsid w:val="00C85A5B"/>
    <w:rsid w:val="00C878B8"/>
    <w:rsid w:val="00C94C7E"/>
    <w:rsid w:val="00C95629"/>
    <w:rsid w:val="00CA0260"/>
    <w:rsid w:val="00CA1C1F"/>
    <w:rsid w:val="00CA2566"/>
    <w:rsid w:val="00CA3BFA"/>
    <w:rsid w:val="00CB20CA"/>
    <w:rsid w:val="00CB5388"/>
    <w:rsid w:val="00CB7BC3"/>
    <w:rsid w:val="00CC2CD9"/>
    <w:rsid w:val="00CD2FF2"/>
    <w:rsid w:val="00CD3C95"/>
    <w:rsid w:val="00CE444A"/>
    <w:rsid w:val="00CF2991"/>
    <w:rsid w:val="00CF3746"/>
    <w:rsid w:val="00CF6E92"/>
    <w:rsid w:val="00D03591"/>
    <w:rsid w:val="00D0739D"/>
    <w:rsid w:val="00D07A36"/>
    <w:rsid w:val="00D12F1A"/>
    <w:rsid w:val="00D14EC2"/>
    <w:rsid w:val="00D15C20"/>
    <w:rsid w:val="00D16FF2"/>
    <w:rsid w:val="00D17765"/>
    <w:rsid w:val="00D2166D"/>
    <w:rsid w:val="00D22DB6"/>
    <w:rsid w:val="00D22FC9"/>
    <w:rsid w:val="00D30C04"/>
    <w:rsid w:val="00D343CD"/>
    <w:rsid w:val="00D40AC5"/>
    <w:rsid w:val="00D432BE"/>
    <w:rsid w:val="00D52639"/>
    <w:rsid w:val="00D52A6D"/>
    <w:rsid w:val="00D52C82"/>
    <w:rsid w:val="00D57C6B"/>
    <w:rsid w:val="00D71676"/>
    <w:rsid w:val="00D71895"/>
    <w:rsid w:val="00D80AA5"/>
    <w:rsid w:val="00D82D2A"/>
    <w:rsid w:val="00D83955"/>
    <w:rsid w:val="00D852E4"/>
    <w:rsid w:val="00D85540"/>
    <w:rsid w:val="00D86583"/>
    <w:rsid w:val="00D86D69"/>
    <w:rsid w:val="00D873EC"/>
    <w:rsid w:val="00D91EC7"/>
    <w:rsid w:val="00D97B59"/>
    <w:rsid w:val="00DA010D"/>
    <w:rsid w:val="00DA39F3"/>
    <w:rsid w:val="00DA45C5"/>
    <w:rsid w:val="00DA48B4"/>
    <w:rsid w:val="00DA5FF8"/>
    <w:rsid w:val="00DB38B6"/>
    <w:rsid w:val="00DB5CE2"/>
    <w:rsid w:val="00DC2D1D"/>
    <w:rsid w:val="00DC426C"/>
    <w:rsid w:val="00DD6D3F"/>
    <w:rsid w:val="00DD78E5"/>
    <w:rsid w:val="00DE4F57"/>
    <w:rsid w:val="00DF1341"/>
    <w:rsid w:val="00DF1483"/>
    <w:rsid w:val="00DF38F6"/>
    <w:rsid w:val="00DF4B6A"/>
    <w:rsid w:val="00DF4D5E"/>
    <w:rsid w:val="00DF6E23"/>
    <w:rsid w:val="00E00478"/>
    <w:rsid w:val="00E014D7"/>
    <w:rsid w:val="00E032D9"/>
    <w:rsid w:val="00E03758"/>
    <w:rsid w:val="00E07BED"/>
    <w:rsid w:val="00E142D0"/>
    <w:rsid w:val="00E2277D"/>
    <w:rsid w:val="00E24A2E"/>
    <w:rsid w:val="00E256BA"/>
    <w:rsid w:val="00E26D0B"/>
    <w:rsid w:val="00E27D42"/>
    <w:rsid w:val="00E30B10"/>
    <w:rsid w:val="00E313A9"/>
    <w:rsid w:val="00E34A20"/>
    <w:rsid w:val="00E351C1"/>
    <w:rsid w:val="00E4129F"/>
    <w:rsid w:val="00E45097"/>
    <w:rsid w:val="00E5077E"/>
    <w:rsid w:val="00E542C8"/>
    <w:rsid w:val="00E5552C"/>
    <w:rsid w:val="00E604D2"/>
    <w:rsid w:val="00E63021"/>
    <w:rsid w:val="00E67BB4"/>
    <w:rsid w:val="00E70D2B"/>
    <w:rsid w:val="00E76850"/>
    <w:rsid w:val="00E76DEF"/>
    <w:rsid w:val="00E83359"/>
    <w:rsid w:val="00E852BF"/>
    <w:rsid w:val="00E85387"/>
    <w:rsid w:val="00E864BB"/>
    <w:rsid w:val="00E867F1"/>
    <w:rsid w:val="00E86CCE"/>
    <w:rsid w:val="00E86E0B"/>
    <w:rsid w:val="00E87E0A"/>
    <w:rsid w:val="00E925A2"/>
    <w:rsid w:val="00E927D7"/>
    <w:rsid w:val="00E92EE1"/>
    <w:rsid w:val="00E97244"/>
    <w:rsid w:val="00EA0E88"/>
    <w:rsid w:val="00EA30F5"/>
    <w:rsid w:val="00EA4661"/>
    <w:rsid w:val="00EA4738"/>
    <w:rsid w:val="00EA54FA"/>
    <w:rsid w:val="00EA59E0"/>
    <w:rsid w:val="00EB0DCA"/>
    <w:rsid w:val="00EB1CE3"/>
    <w:rsid w:val="00EB3877"/>
    <w:rsid w:val="00EB4DE5"/>
    <w:rsid w:val="00EC0D78"/>
    <w:rsid w:val="00ED0ACC"/>
    <w:rsid w:val="00ED42AC"/>
    <w:rsid w:val="00ED742E"/>
    <w:rsid w:val="00ED7B23"/>
    <w:rsid w:val="00EE0739"/>
    <w:rsid w:val="00EE2C0B"/>
    <w:rsid w:val="00EE6CF2"/>
    <w:rsid w:val="00EF1EB5"/>
    <w:rsid w:val="00EF206D"/>
    <w:rsid w:val="00EF21CD"/>
    <w:rsid w:val="00EF63D2"/>
    <w:rsid w:val="00EF7DC5"/>
    <w:rsid w:val="00F01919"/>
    <w:rsid w:val="00F01E19"/>
    <w:rsid w:val="00F02358"/>
    <w:rsid w:val="00F0769F"/>
    <w:rsid w:val="00F10226"/>
    <w:rsid w:val="00F10CF9"/>
    <w:rsid w:val="00F111E6"/>
    <w:rsid w:val="00F13C15"/>
    <w:rsid w:val="00F16387"/>
    <w:rsid w:val="00F275A0"/>
    <w:rsid w:val="00F41595"/>
    <w:rsid w:val="00F42C08"/>
    <w:rsid w:val="00F525E8"/>
    <w:rsid w:val="00F52AEF"/>
    <w:rsid w:val="00F56533"/>
    <w:rsid w:val="00F5653F"/>
    <w:rsid w:val="00F57670"/>
    <w:rsid w:val="00F577CF"/>
    <w:rsid w:val="00F63C06"/>
    <w:rsid w:val="00F650C7"/>
    <w:rsid w:val="00F7171D"/>
    <w:rsid w:val="00F723C6"/>
    <w:rsid w:val="00F77515"/>
    <w:rsid w:val="00F77B4A"/>
    <w:rsid w:val="00F804B7"/>
    <w:rsid w:val="00F860D2"/>
    <w:rsid w:val="00F903E7"/>
    <w:rsid w:val="00F90F66"/>
    <w:rsid w:val="00F93363"/>
    <w:rsid w:val="00F94AD5"/>
    <w:rsid w:val="00F94E16"/>
    <w:rsid w:val="00F95263"/>
    <w:rsid w:val="00FA0A9D"/>
    <w:rsid w:val="00FA0D67"/>
    <w:rsid w:val="00FA2ED0"/>
    <w:rsid w:val="00FA492A"/>
    <w:rsid w:val="00FA4DE3"/>
    <w:rsid w:val="00FA7E60"/>
    <w:rsid w:val="00FB52CE"/>
    <w:rsid w:val="00FC0871"/>
    <w:rsid w:val="00FC1E79"/>
    <w:rsid w:val="00FC33A0"/>
    <w:rsid w:val="00FC4183"/>
    <w:rsid w:val="00FC450B"/>
    <w:rsid w:val="00FC53C5"/>
    <w:rsid w:val="00FC57B3"/>
    <w:rsid w:val="00FD2C35"/>
    <w:rsid w:val="00FD5BB9"/>
    <w:rsid w:val="00FD5C4E"/>
    <w:rsid w:val="00FD6358"/>
    <w:rsid w:val="00FE63FD"/>
    <w:rsid w:val="00FE67AC"/>
    <w:rsid w:val="00FF010A"/>
    <w:rsid w:val="00FF2123"/>
    <w:rsid w:val="00FF231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EFFB1A2"/>
  <w15:docId w15:val="{C1281A66-BDB2-4C15-9B1D-7F12B0AD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w:hAnsi="Times" w:cs="Times New Roman"/>
        <w:lang w:val="de-DE"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4E46"/>
    <w:rPr>
      <w:sz w:val="24"/>
      <w:lang w:eastAsia="de-DE"/>
    </w:rPr>
  </w:style>
  <w:style w:type="paragraph" w:styleId="berschrift1">
    <w:name w:val="heading 1"/>
    <w:basedOn w:val="Standard"/>
    <w:next w:val="Standard"/>
    <w:qFormat/>
    <w:rsid w:val="008E176B"/>
    <w:pPr>
      <w:keepNext/>
      <w:outlineLvl w:val="0"/>
    </w:pPr>
    <w:rPr>
      <w:rFonts w:ascii="Arial" w:hAnsi="Arial"/>
      <w:b/>
      <w:w w:val="106"/>
      <w:sz w:val="22"/>
    </w:rPr>
  </w:style>
  <w:style w:type="paragraph" w:styleId="berschrift2">
    <w:name w:val="heading 2"/>
    <w:basedOn w:val="Standard"/>
    <w:next w:val="Standard"/>
    <w:qFormat/>
    <w:rsid w:val="004D3F22"/>
    <w:pPr>
      <w:keepNext/>
      <w:outlineLvl w:val="1"/>
    </w:pPr>
    <w:rPr>
      <w:rFonts w:ascii="Arial" w:hAnsi="Arial"/>
      <w:i/>
      <w:w w:val="85"/>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630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403329"/>
    <w:pPr>
      <w:tabs>
        <w:tab w:val="center" w:pos="4536"/>
        <w:tab w:val="right" w:pos="9072"/>
      </w:tabs>
    </w:pPr>
  </w:style>
  <w:style w:type="paragraph" w:styleId="Fuzeile">
    <w:name w:val="footer"/>
    <w:basedOn w:val="Standard"/>
    <w:link w:val="FuzeileZchn"/>
    <w:uiPriority w:val="99"/>
    <w:rsid w:val="00403329"/>
    <w:pPr>
      <w:tabs>
        <w:tab w:val="center" w:pos="4536"/>
        <w:tab w:val="right" w:pos="9072"/>
      </w:tabs>
    </w:pPr>
  </w:style>
  <w:style w:type="character" w:styleId="Seitenzahl">
    <w:name w:val="page number"/>
    <w:basedOn w:val="Absatz-Standardschriftart"/>
    <w:rsid w:val="00403329"/>
  </w:style>
  <w:style w:type="paragraph" w:styleId="Sprechblasentext">
    <w:name w:val="Balloon Text"/>
    <w:basedOn w:val="Standard"/>
    <w:semiHidden/>
    <w:rsid w:val="00A50406"/>
    <w:rPr>
      <w:rFonts w:ascii="Tahoma" w:hAnsi="Tahoma" w:cs="Tahoma"/>
      <w:sz w:val="16"/>
      <w:szCs w:val="16"/>
    </w:rPr>
  </w:style>
  <w:style w:type="character" w:styleId="Hyperlink">
    <w:name w:val="Hyperlink"/>
    <w:basedOn w:val="Absatz-Standardschriftart"/>
    <w:uiPriority w:val="99"/>
    <w:rsid w:val="00270CB7"/>
    <w:rPr>
      <w:color w:val="0000FF"/>
      <w:u w:val="single"/>
    </w:rPr>
  </w:style>
  <w:style w:type="character" w:customStyle="1" w:styleId="KopfzeileZchn">
    <w:name w:val="Kopfzeile Zchn"/>
    <w:basedOn w:val="Absatz-Standardschriftart"/>
    <w:link w:val="Kopfzeile"/>
    <w:uiPriority w:val="99"/>
    <w:rsid w:val="00885D9B"/>
    <w:rPr>
      <w:sz w:val="24"/>
      <w:lang w:eastAsia="de-DE"/>
    </w:rPr>
  </w:style>
  <w:style w:type="character" w:styleId="Platzhaltertext">
    <w:name w:val="Placeholder Text"/>
    <w:basedOn w:val="Absatz-Standardschriftart"/>
    <w:uiPriority w:val="99"/>
    <w:semiHidden/>
    <w:rsid w:val="00E97244"/>
    <w:rPr>
      <w:color w:val="808080"/>
    </w:rPr>
  </w:style>
  <w:style w:type="paragraph" w:styleId="berarbeitung">
    <w:name w:val="Revision"/>
    <w:hidden/>
    <w:uiPriority w:val="99"/>
    <w:semiHidden/>
    <w:rsid w:val="005B6530"/>
    <w:rPr>
      <w:sz w:val="24"/>
      <w:lang w:eastAsia="de-DE"/>
    </w:rPr>
  </w:style>
  <w:style w:type="character" w:styleId="Kommentarzeichen">
    <w:name w:val="annotation reference"/>
    <w:basedOn w:val="Absatz-Standardschriftart"/>
    <w:uiPriority w:val="99"/>
    <w:semiHidden/>
    <w:unhideWhenUsed/>
    <w:rsid w:val="001E6790"/>
    <w:rPr>
      <w:sz w:val="16"/>
      <w:szCs w:val="16"/>
    </w:rPr>
  </w:style>
  <w:style w:type="paragraph" w:styleId="Kommentartext">
    <w:name w:val="annotation text"/>
    <w:basedOn w:val="Standard"/>
    <w:link w:val="KommentartextZchn"/>
    <w:uiPriority w:val="99"/>
    <w:unhideWhenUsed/>
    <w:rsid w:val="001E6790"/>
    <w:rPr>
      <w:sz w:val="20"/>
    </w:rPr>
  </w:style>
  <w:style w:type="character" w:customStyle="1" w:styleId="KommentartextZchn">
    <w:name w:val="Kommentartext Zchn"/>
    <w:basedOn w:val="Absatz-Standardschriftart"/>
    <w:link w:val="Kommentartext"/>
    <w:uiPriority w:val="99"/>
    <w:rsid w:val="001E6790"/>
    <w:rPr>
      <w:lang w:eastAsia="de-DE"/>
    </w:rPr>
  </w:style>
  <w:style w:type="paragraph" w:styleId="Kommentarthema">
    <w:name w:val="annotation subject"/>
    <w:basedOn w:val="Kommentartext"/>
    <w:next w:val="Kommentartext"/>
    <w:link w:val="KommentarthemaZchn"/>
    <w:uiPriority w:val="99"/>
    <w:semiHidden/>
    <w:unhideWhenUsed/>
    <w:rsid w:val="001E6790"/>
    <w:rPr>
      <w:b/>
      <w:bCs/>
    </w:rPr>
  </w:style>
  <w:style w:type="character" w:customStyle="1" w:styleId="KommentarthemaZchn">
    <w:name w:val="Kommentarthema Zchn"/>
    <w:basedOn w:val="KommentartextZchn"/>
    <w:link w:val="Kommentarthema"/>
    <w:uiPriority w:val="99"/>
    <w:semiHidden/>
    <w:rsid w:val="001E6790"/>
    <w:rPr>
      <w:b/>
      <w:bCs/>
      <w:lang w:eastAsia="de-DE"/>
    </w:rPr>
  </w:style>
  <w:style w:type="character" w:styleId="NichtaufgelsteErwhnung">
    <w:name w:val="Unresolved Mention"/>
    <w:basedOn w:val="Absatz-Standardschriftart"/>
    <w:uiPriority w:val="99"/>
    <w:semiHidden/>
    <w:unhideWhenUsed/>
    <w:rsid w:val="00847C23"/>
    <w:rPr>
      <w:color w:val="605E5C"/>
      <w:shd w:val="clear" w:color="auto" w:fill="E1DFDD"/>
    </w:rPr>
  </w:style>
  <w:style w:type="character" w:customStyle="1" w:styleId="FuzeileZchn">
    <w:name w:val="Fußzeile Zchn"/>
    <w:basedOn w:val="Absatz-Standardschriftart"/>
    <w:link w:val="Fuzeile"/>
    <w:uiPriority w:val="99"/>
    <w:rsid w:val="00437B8A"/>
    <w:rPr>
      <w:sz w:val="24"/>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67273">
      <w:bodyDiv w:val="1"/>
      <w:marLeft w:val="0"/>
      <w:marRight w:val="0"/>
      <w:marTop w:val="0"/>
      <w:marBottom w:val="0"/>
      <w:divBdr>
        <w:top w:val="none" w:sz="0" w:space="0" w:color="auto"/>
        <w:left w:val="none" w:sz="0" w:space="0" w:color="auto"/>
        <w:bottom w:val="none" w:sz="0" w:space="0" w:color="auto"/>
        <w:right w:val="none" w:sz="0" w:space="0" w:color="auto"/>
      </w:divBdr>
    </w:div>
    <w:div w:id="438915389">
      <w:bodyDiv w:val="1"/>
      <w:marLeft w:val="0"/>
      <w:marRight w:val="0"/>
      <w:marTop w:val="0"/>
      <w:marBottom w:val="0"/>
      <w:divBdr>
        <w:top w:val="none" w:sz="0" w:space="0" w:color="auto"/>
        <w:left w:val="none" w:sz="0" w:space="0" w:color="auto"/>
        <w:bottom w:val="none" w:sz="0" w:space="0" w:color="auto"/>
        <w:right w:val="none" w:sz="0" w:space="0" w:color="auto"/>
      </w:divBdr>
    </w:div>
    <w:div w:id="54436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2.jpe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bitzer.de"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5.jpeg"/><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trainings-events.bitzer.de/microsite/index.cfm?l=2680&amp;modus=" TargetMode="External"/><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191DEC7E-918A-4099-9F2E-6277C19B20EC}"/>
      </w:docPartPr>
      <w:docPartBody>
        <w:p w:rsidR="00706452" w:rsidRDefault="00D77FAF">
          <w:r w:rsidRPr="006654D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FAF"/>
    <w:rsid w:val="0004495E"/>
    <w:rsid w:val="002666E8"/>
    <w:rsid w:val="003415E5"/>
    <w:rsid w:val="00410596"/>
    <w:rsid w:val="00526E4E"/>
    <w:rsid w:val="005807D4"/>
    <w:rsid w:val="005B6B1B"/>
    <w:rsid w:val="006172E6"/>
    <w:rsid w:val="00706452"/>
    <w:rsid w:val="0083098E"/>
    <w:rsid w:val="0085710A"/>
    <w:rsid w:val="00870267"/>
    <w:rsid w:val="008C2E34"/>
    <w:rsid w:val="008E0781"/>
    <w:rsid w:val="00A72A3A"/>
    <w:rsid w:val="00B51944"/>
    <w:rsid w:val="00BE0A8E"/>
    <w:rsid w:val="00BE2377"/>
    <w:rsid w:val="00BF1D20"/>
    <w:rsid w:val="00C151B6"/>
    <w:rsid w:val="00CA3352"/>
    <w:rsid w:val="00D77FAF"/>
    <w:rsid w:val="00DF1195"/>
    <w:rsid w:val="00EE6CF2"/>
    <w:rsid w:val="00F7751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D77FAF"/>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7651E0-2B70-465C-AC13-E94F7046A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1307</Words>
  <Characters>9479</Characters>
  <Application>Microsoft Office Word</Application>
  <DocSecurity>0</DocSecurity>
  <Lines>78</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Ihr Zeichen</vt:lpstr>
      <vt:lpstr>Ihr Zeichen</vt:lpstr>
    </vt:vector>
  </TitlesOfParts>
  <Company>Ritter</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Ihr Zeichen</dc:title>
  <dc:subject/>
  <dc:creator>OI - RS</dc:creator>
  <cp:keywords/>
  <cp:lastModifiedBy>Konopka, Carina</cp:lastModifiedBy>
  <cp:revision>9</cp:revision>
  <cp:lastPrinted>2024-06-10T10:29:00Z</cp:lastPrinted>
  <dcterms:created xsi:type="dcterms:W3CDTF">2024-06-21T11:02:00Z</dcterms:created>
  <dcterms:modified xsi:type="dcterms:W3CDTF">2024-06-21T12:34:00Z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eitenzahl">
    <vt:lpwstr>2</vt:lpwstr>
  </property>
</Properties>
</file>