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b/>
          <w:sz w:val="16"/>
        </w:rPr>
        <w:id w:val="-1857033747"/>
        <w:lock w:val="sdtContentLocked"/>
        <w:placeholder>
          <w:docPart w:val="A984389B2DDE4B398A14BBBAB54BB9D1"/>
        </w:placeholder>
        <w:group/>
      </w:sdtPr>
      <w:sdtEndPr>
        <w:rPr>
          <w:b w:val="0"/>
        </w:rPr>
      </w:sdtEndPr>
      <w:sdtContent>
        <w:p w14:paraId="1BE1AD3B" w14:textId="77777777" w:rsidR="00796BF0" w:rsidRPr="00CC7DDA" w:rsidRDefault="00796BF0" w:rsidP="00796BF0">
          <w:pPr>
            <w:framePr w:w="3340" w:h="1366" w:hRule="exact" w:hSpace="181" w:wrap="around" w:vAnchor="page" w:hAnchor="page" w:x="7536" w:y="2048"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14:paraId="3BBF83C1" w14:textId="77777777" w:rsidR="00796BF0" w:rsidRPr="00FF34A4" w:rsidRDefault="00796BF0" w:rsidP="00796BF0">
          <w:pPr>
            <w:framePr w:w="3340" w:h="1366" w:hRule="exact" w:hSpace="181" w:wrap="around" w:vAnchor="page" w:hAnchor="page" w:x="7536" w:y="2048" w:anchorLock="1"/>
            <w:tabs>
              <w:tab w:val="left" w:pos="142"/>
              <w:tab w:val="left" w:pos="426"/>
            </w:tabs>
            <w:rPr>
              <w:rFonts w:ascii="Tahoma" w:hAnsi="Tahoma" w:cs="Tahoma"/>
              <w:sz w:val="16"/>
            </w:rPr>
          </w:pPr>
          <w:r w:rsidRPr="00FF34A4">
            <w:rPr>
              <w:rFonts w:ascii="Tahoma" w:hAnsi="Tahoma" w:cs="Tahoma"/>
              <w:sz w:val="16"/>
            </w:rPr>
            <w:t>Peter-Schaufler-Platz 1</w:t>
          </w:r>
        </w:p>
        <w:p w14:paraId="3D2E5C5A" w14:textId="77777777" w:rsidR="00796BF0" w:rsidRPr="007209B4" w:rsidRDefault="00796BF0" w:rsidP="00796BF0">
          <w:pPr>
            <w:framePr w:w="3340" w:h="1366" w:hRule="exact" w:hSpace="181" w:wrap="around" w:vAnchor="page" w:hAnchor="page" w:x="7536" w:y="2048" w:anchorLock="1"/>
            <w:tabs>
              <w:tab w:val="left" w:pos="426"/>
            </w:tabs>
            <w:rPr>
              <w:rFonts w:ascii="Tahoma" w:hAnsi="Tahoma" w:cs="Tahoma"/>
              <w:sz w:val="16"/>
            </w:rPr>
          </w:pPr>
          <w:r w:rsidRPr="007209B4">
            <w:rPr>
              <w:rFonts w:ascii="Tahoma" w:hAnsi="Tahoma" w:cs="Tahoma"/>
              <w:sz w:val="16"/>
            </w:rPr>
            <w:t>71065 Sindelfingen // Germany</w:t>
          </w:r>
        </w:p>
        <w:p w14:paraId="3699CF59" w14:textId="77777777" w:rsidR="00796BF0" w:rsidRPr="007209B4" w:rsidRDefault="00796BF0" w:rsidP="00796BF0">
          <w:pPr>
            <w:framePr w:w="3340" w:h="1366" w:hRule="exact" w:hSpace="181" w:wrap="around" w:vAnchor="page" w:hAnchor="page" w:x="7536" w:y="2048"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t>+49 7031 932-0</w:t>
          </w:r>
        </w:p>
        <w:p w14:paraId="45B45D54" w14:textId="77777777" w:rsidR="00796BF0" w:rsidRPr="00B26433" w:rsidRDefault="00796BF0" w:rsidP="00796BF0">
          <w:pPr>
            <w:framePr w:w="3340" w:h="1366" w:hRule="exact" w:hSpace="181" w:wrap="around" w:vAnchor="page" w:hAnchor="page" w:x="7536" w:y="2048"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AD83FB56EECF48588C5E656C9E7A327C"/>
        </w:placeholder>
        <w:group/>
      </w:sdtPr>
      <w:sdtEndPr/>
      <w:sdtContent>
        <w:sdt>
          <w:sdtPr>
            <w:rPr>
              <w:rFonts w:ascii="Tahoma" w:hAnsi="Tahoma" w:cs="Tahoma"/>
              <w:sz w:val="22"/>
              <w:szCs w:val="22"/>
            </w:rPr>
            <w:id w:val="-1481069674"/>
            <w:lock w:val="sdtContentLocked"/>
            <w:placeholder>
              <w:docPart w:val="AD83FB56EECF48588C5E656C9E7A327C"/>
            </w:placeholder>
            <w:group/>
          </w:sdtPr>
          <w:sdtEndPr/>
          <w:sdtContent>
            <w:p w14:paraId="336D2ABF" w14:textId="77777777" w:rsidR="00E63021" w:rsidRPr="00B26433" w:rsidRDefault="00E63021" w:rsidP="00E63021">
              <w:pPr>
                <w:rPr>
                  <w:rFonts w:ascii="Tahoma" w:hAnsi="Tahoma" w:cs="Tahoma"/>
                  <w:sz w:val="22"/>
                  <w:szCs w:val="22"/>
                </w:rPr>
              </w:pPr>
            </w:p>
            <w:p w14:paraId="7E0DA2F2" w14:textId="77777777" w:rsidR="00E63021" w:rsidRPr="00B26433" w:rsidRDefault="00E63021" w:rsidP="00E63021">
              <w:pPr>
                <w:rPr>
                  <w:rFonts w:ascii="Tahoma" w:hAnsi="Tahoma" w:cs="Tahoma"/>
                  <w:sz w:val="22"/>
                  <w:szCs w:val="22"/>
                </w:rPr>
              </w:pPr>
            </w:p>
            <w:p w14:paraId="6C311BA4" w14:textId="77777777" w:rsidR="00E63021" w:rsidRPr="00B26433" w:rsidRDefault="00E63021" w:rsidP="00E63021">
              <w:pPr>
                <w:rPr>
                  <w:rFonts w:ascii="Tahoma" w:hAnsi="Tahoma" w:cs="Tahoma"/>
                  <w:sz w:val="22"/>
                  <w:szCs w:val="22"/>
                </w:rPr>
              </w:pPr>
            </w:p>
            <w:p w14:paraId="32FE5AFD" w14:textId="77777777" w:rsidR="00E63021" w:rsidRPr="00B26433" w:rsidRDefault="00E63021" w:rsidP="00E63021">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00E00478" w:rsidRPr="00D33B49" w14:paraId="746F3E4E" w14:textId="77777777" w:rsidTr="00E00478">
                <w:trPr>
                  <w:trHeight w:val="182"/>
                </w:trPr>
                <w:tc>
                  <w:tcPr>
                    <w:tcW w:w="2066" w:type="dxa"/>
                    <w:gridSpan w:val="3"/>
                    <w:shd w:val="clear" w:color="auto" w:fill="auto"/>
                  </w:tcPr>
                  <w:p w14:paraId="62F571DA"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bookmarkStart w:id="0" w:name="Adresse"/>
                    <w:bookmarkStart w:id="1" w:name="Text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14:paraId="7D1D9F25"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2" w:name="UnserZeichen"/>
                    <w:bookmarkEnd w:id="2"/>
                  </w:p>
                </w:tc>
              </w:tr>
              <w:tr w:rsidR="00E00478" w:rsidRPr="00D33B49" w14:paraId="6C70D134" w14:textId="77777777" w:rsidTr="00E00478">
                <w:trPr>
                  <w:trHeight w:val="113"/>
                </w:trPr>
                <w:tc>
                  <w:tcPr>
                    <w:tcW w:w="3750" w:type="dxa"/>
                    <w:gridSpan w:val="4"/>
                    <w:shd w:val="clear" w:color="auto" w:fill="auto"/>
                  </w:tcPr>
                  <w:p w14:paraId="6AB63DE1" w14:textId="77777777" w:rsidR="00E00478" w:rsidRPr="00D33B49" w:rsidRDefault="00E00478" w:rsidP="00CA3BFA">
                    <w:pPr>
                      <w:framePr w:w="3856" w:h="1372" w:hRule="exact" w:hSpace="181" w:wrap="around" w:vAnchor="page" w:hAnchor="page" w:x="7429" w:y="3584" w:anchorLock="1"/>
                      <w:rPr>
                        <w:rFonts w:ascii="Tahoma" w:hAnsi="Tahoma" w:cs="Tahoma"/>
                        <w:sz w:val="12"/>
                        <w:szCs w:val="12"/>
                      </w:rPr>
                    </w:pPr>
                  </w:p>
                </w:tc>
              </w:tr>
              <w:tr w:rsidR="00E00478" w:rsidRPr="00D33B49" w14:paraId="22271DBA" w14:textId="77777777" w:rsidTr="00E00478">
                <w:trPr>
                  <w:trHeight w:val="181"/>
                </w:trPr>
                <w:tc>
                  <w:tcPr>
                    <w:tcW w:w="1281" w:type="dxa"/>
                    <w:gridSpan w:val="2"/>
                    <w:shd w:val="clear" w:color="auto" w:fill="auto"/>
                  </w:tcPr>
                  <w:p w14:paraId="3F16AA62"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14:paraId="63933A0E" w14:textId="77777777" w:rsidR="006C1515" w:rsidRPr="00D33B49" w:rsidRDefault="006C1515" w:rsidP="006C1515">
                    <w:pPr>
                      <w:framePr w:w="3856" w:h="1372" w:hRule="exact" w:hSpace="181" w:wrap="around" w:vAnchor="page" w:hAnchor="page" w:x="7429" w:y="3584" w:anchorLock="1"/>
                      <w:jc w:val="right"/>
                      <w:rPr>
                        <w:rFonts w:ascii="Tahoma" w:hAnsi="Tahoma" w:cs="Tahoma"/>
                        <w:sz w:val="16"/>
                        <w:szCs w:val="16"/>
                      </w:rPr>
                    </w:pPr>
                    <w:bookmarkStart w:id="3" w:name="Absender"/>
                    <w:bookmarkEnd w:id="3"/>
                    <w:r>
                      <w:rPr>
                        <w:rFonts w:ascii="Tahoma" w:hAnsi="Tahoma" w:cs="Tahoma"/>
                        <w:sz w:val="16"/>
                        <w:szCs w:val="16"/>
                      </w:rPr>
                      <w:t>Stefanie Holst</w:t>
                    </w:r>
                  </w:p>
                </w:tc>
              </w:tr>
              <w:tr w:rsidR="00E00478" w:rsidRPr="007267DC" w14:paraId="6BCC2F58" w14:textId="77777777" w:rsidTr="00E00478">
                <w:trPr>
                  <w:trHeight w:val="181"/>
                </w:trPr>
                <w:tc>
                  <w:tcPr>
                    <w:tcW w:w="1185" w:type="dxa"/>
                    <w:shd w:val="clear" w:color="auto" w:fill="auto"/>
                  </w:tcPr>
                  <w:p w14:paraId="51AC3EF6"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14:paraId="57F84DC4" w14:textId="77777777" w:rsidR="005A1978" w:rsidRPr="005A1978" w:rsidRDefault="007267DC" w:rsidP="00CA3BFA">
                    <w:pPr>
                      <w:framePr w:w="3856" w:h="1372" w:hRule="exact" w:hSpace="181" w:wrap="around" w:vAnchor="page" w:hAnchor="page" w:x="7429" w:y="3584" w:anchorLock="1"/>
                      <w:jc w:val="right"/>
                      <w:rPr>
                        <w:rFonts w:ascii="Tahoma" w:hAnsi="Tahoma" w:cs="Tahoma"/>
                        <w:sz w:val="16"/>
                        <w:szCs w:val="16"/>
                        <w:lang w:val="en-US"/>
                      </w:rPr>
                    </w:pPr>
                    <w:bookmarkStart w:id="4" w:name="Abteilung"/>
                    <w:bookmarkEnd w:id="4"/>
                    <w:r w:rsidRPr="007267DC">
                      <w:rPr>
                        <w:rFonts w:ascii="Tahoma" w:hAnsi="Tahoma" w:cs="Tahoma"/>
                        <w:spacing w:val="-4"/>
                        <w:sz w:val="16"/>
                        <w:szCs w:val="16"/>
                        <w:lang w:val="en-US"/>
                      </w:rPr>
                      <w:t xml:space="preserve">Head of </w:t>
                    </w:r>
                    <w:r w:rsidR="005A1978" w:rsidRPr="007267DC">
                      <w:rPr>
                        <w:rFonts w:ascii="Tahoma" w:hAnsi="Tahoma" w:cs="Tahoma"/>
                        <w:spacing w:val="-4"/>
                        <w:sz w:val="16"/>
                        <w:szCs w:val="16"/>
                        <w:lang w:val="en-US"/>
                      </w:rPr>
                      <w:t>Corporate</w:t>
                    </w:r>
                    <w:r w:rsidRPr="007267DC">
                      <w:rPr>
                        <w:rFonts w:ascii="Tahoma" w:hAnsi="Tahoma" w:cs="Tahoma"/>
                        <w:spacing w:val="-4"/>
                        <w:sz w:val="16"/>
                        <w:szCs w:val="16"/>
                        <w:lang w:val="en-US"/>
                      </w:rPr>
                      <w:t xml:space="preserve"> Communications</w:t>
                    </w:r>
                    <w:r>
                      <w:rPr>
                        <w:rFonts w:ascii="Tahoma" w:hAnsi="Tahoma" w:cs="Tahoma"/>
                        <w:sz w:val="16"/>
                        <w:szCs w:val="16"/>
                        <w:lang w:val="en-US"/>
                      </w:rPr>
                      <w:t xml:space="preserve"> </w:t>
                    </w:r>
                    <w:r w:rsidRPr="005A1978">
                      <w:rPr>
                        <w:rFonts w:ascii="Tahoma" w:hAnsi="Tahoma" w:cs="Tahoma"/>
                        <w:sz w:val="16"/>
                        <w:szCs w:val="16"/>
                        <w:lang w:val="en-US"/>
                      </w:rPr>
                      <w:t xml:space="preserve">  </w:t>
                    </w:r>
                    <w:r w:rsidR="005A1978" w:rsidRPr="005A1978">
                      <w:rPr>
                        <w:rFonts w:ascii="Tahoma" w:hAnsi="Tahoma" w:cs="Tahoma"/>
                        <w:sz w:val="16"/>
                        <w:szCs w:val="16"/>
                        <w:lang w:val="en-US"/>
                      </w:rPr>
                      <w:t xml:space="preserve"> </w:t>
                    </w:r>
                    <w:r w:rsidR="005A1978" w:rsidRPr="005A1978">
                      <w:rPr>
                        <w:rFonts w:ascii="Tahoma" w:hAnsi="Tahoma" w:cs="Tahoma"/>
                        <w:sz w:val="16"/>
                        <w:szCs w:val="16"/>
                        <w:lang w:val="en-US"/>
                      </w:rPr>
                      <w:br/>
                    </w:r>
                    <w:r w:rsidRPr="005A1978">
                      <w:rPr>
                        <w:rFonts w:ascii="Tahoma" w:hAnsi="Tahoma" w:cs="Tahoma"/>
                        <w:sz w:val="16"/>
                        <w:szCs w:val="16"/>
                        <w:lang w:val="en-US"/>
                      </w:rPr>
                      <w:t xml:space="preserve"> </w:t>
                    </w:r>
                    <w:r>
                      <w:rPr>
                        <w:rFonts w:ascii="Tahoma" w:hAnsi="Tahoma" w:cs="Tahoma"/>
                        <w:sz w:val="16"/>
                        <w:szCs w:val="16"/>
                        <w:lang w:val="en-US"/>
                      </w:rPr>
                      <w:t>and Marketing Content</w:t>
                    </w:r>
                    <w:r w:rsidRPr="005A1978">
                      <w:rPr>
                        <w:rFonts w:ascii="Tahoma" w:hAnsi="Tahoma" w:cs="Tahoma"/>
                        <w:sz w:val="16"/>
                        <w:szCs w:val="16"/>
                        <w:lang w:val="en-US"/>
                      </w:rPr>
                      <w:t xml:space="preserve"> </w:t>
                    </w:r>
                  </w:p>
                </w:tc>
              </w:tr>
              <w:tr w:rsidR="00E00478" w:rsidRPr="00D33B49" w14:paraId="449E4642" w14:textId="77777777" w:rsidTr="00E00478">
                <w:trPr>
                  <w:trHeight w:val="181"/>
                </w:trPr>
                <w:tc>
                  <w:tcPr>
                    <w:tcW w:w="1281" w:type="dxa"/>
                    <w:gridSpan w:val="2"/>
                    <w:shd w:val="clear" w:color="auto" w:fill="auto"/>
                  </w:tcPr>
                  <w:p w14:paraId="13412654"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14:paraId="45681299" w14:textId="77777777" w:rsidR="00E00478" w:rsidRPr="00D33B49" w:rsidRDefault="00E00478" w:rsidP="00CA3BFA">
                    <w:pPr>
                      <w:framePr w:w="3856" w:h="1372" w:hRule="exact" w:hSpace="181" w:wrap="around" w:vAnchor="page" w:hAnchor="page" w:x="7429" w:y="3584" w:anchorLock="1"/>
                      <w:jc w:val="right"/>
                      <w:rPr>
                        <w:rFonts w:ascii="Tahoma" w:hAnsi="Tahoma" w:cs="Tahoma"/>
                        <w:sz w:val="16"/>
                        <w:szCs w:val="16"/>
                      </w:rPr>
                    </w:pPr>
                    <w:bookmarkStart w:id="5" w:name="Durchwahl"/>
                    <w:bookmarkEnd w:id="5"/>
                    <w:r>
                      <w:rPr>
                        <w:rFonts w:ascii="Tahoma" w:hAnsi="Tahoma" w:cs="Tahoma"/>
                        <w:sz w:val="16"/>
                        <w:szCs w:val="16"/>
                      </w:rPr>
                      <w:t>+49 7031 932-</w:t>
                    </w:r>
                    <w:r w:rsidR="002154F0">
                      <w:rPr>
                        <w:rFonts w:ascii="Tahoma" w:hAnsi="Tahoma" w:cs="Tahoma"/>
                        <w:sz w:val="16"/>
                        <w:szCs w:val="16"/>
                      </w:rPr>
                      <w:t>4327</w:t>
                    </w:r>
                  </w:p>
                </w:tc>
              </w:tr>
              <w:tr w:rsidR="00E00478" w:rsidRPr="00D33B49" w14:paraId="1D7A8480" w14:textId="77777777" w:rsidTr="00E00478">
                <w:trPr>
                  <w:trHeight w:val="181"/>
                </w:trPr>
                <w:tc>
                  <w:tcPr>
                    <w:tcW w:w="1281" w:type="dxa"/>
                    <w:gridSpan w:val="2"/>
                    <w:shd w:val="clear" w:color="auto" w:fill="auto"/>
                  </w:tcPr>
                  <w:p w14:paraId="06FA212E" w14:textId="77777777" w:rsidR="00E00478" w:rsidRPr="00D33B49" w:rsidRDefault="00E00478" w:rsidP="00CA3BFA">
                    <w:pPr>
                      <w:framePr w:w="3856" w:h="1372" w:hRule="exact" w:hSpace="181" w:wrap="around" w:vAnchor="page" w:hAnchor="page" w:x="7429" w:y="3584"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14:paraId="44D794F6" w14:textId="77777777" w:rsidR="00E00478" w:rsidRPr="00D33B49" w:rsidRDefault="006C1515" w:rsidP="00CA3BFA">
                    <w:pPr>
                      <w:framePr w:w="3856" w:h="1372" w:hRule="exact" w:hSpace="181" w:wrap="around" w:vAnchor="page" w:hAnchor="page" w:x="7429" w:y="3584" w:anchorLock="1"/>
                      <w:jc w:val="right"/>
                      <w:rPr>
                        <w:rFonts w:ascii="Tahoma" w:hAnsi="Tahoma" w:cs="Tahoma"/>
                        <w:sz w:val="16"/>
                        <w:szCs w:val="16"/>
                      </w:rPr>
                    </w:pPr>
                    <w:bookmarkStart w:id="6" w:name="eMail"/>
                    <w:bookmarkEnd w:id="6"/>
                    <w:r>
                      <w:rPr>
                        <w:rFonts w:ascii="Tahoma" w:hAnsi="Tahoma" w:cs="Tahoma"/>
                        <w:sz w:val="16"/>
                        <w:szCs w:val="16"/>
                      </w:rPr>
                      <w:t>stefanie.holst@bitzer.de</w:t>
                    </w:r>
                  </w:p>
                </w:tc>
              </w:tr>
              <w:tr w:rsidR="00E00478" w:rsidRPr="00D33B49" w14:paraId="3B78E4C8" w14:textId="77777777" w:rsidTr="00E00478">
                <w:trPr>
                  <w:trHeight w:val="113"/>
                </w:trPr>
                <w:tc>
                  <w:tcPr>
                    <w:tcW w:w="1281" w:type="dxa"/>
                    <w:gridSpan w:val="2"/>
                    <w:shd w:val="clear" w:color="auto" w:fill="auto"/>
                  </w:tcPr>
                  <w:p w14:paraId="0039E1E5" w14:textId="77777777" w:rsidR="00E00478" w:rsidRPr="00D33B49" w:rsidRDefault="00E00478" w:rsidP="00CA3BFA">
                    <w:pPr>
                      <w:framePr w:w="3856" w:h="1372" w:hRule="exact" w:hSpace="181" w:wrap="around" w:vAnchor="page" w:hAnchor="page" w:x="7429" w:y="3584" w:anchorLock="1"/>
                      <w:ind w:left="-42"/>
                      <w:rPr>
                        <w:rFonts w:ascii="Tahoma" w:hAnsi="Tahoma" w:cs="Tahoma"/>
                        <w:sz w:val="12"/>
                        <w:szCs w:val="12"/>
                      </w:rPr>
                    </w:pPr>
                  </w:p>
                </w:tc>
                <w:tc>
                  <w:tcPr>
                    <w:tcW w:w="2469" w:type="dxa"/>
                    <w:gridSpan w:val="2"/>
                    <w:shd w:val="clear" w:color="auto" w:fill="auto"/>
                  </w:tcPr>
                  <w:p w14:paraId="479BB4EE" w14:textId="77777777" w:rsidR="00E00478" w:rsidRPr="00D33B49" w:rsidRDefault="00E00478" w:rsidP="00CA3BFA">
                    <w:pPr>
                      <w:framePr w:w="3856" w:h="1372" w:hRule="exact" w:hSpace="181" w:wrap="around" w:vAnchor="page" w:hAnchor="page" w:x="7429" w:y="3584" w:anchorLock="1"/>
                      <w:ind w:left="-42"/>
                      <w:jc w:val="right"/>
                      <w:rPr>
                        <w:rFonts w:ascii="Tahoma" w:hAnsi="Tahoma" w:cs="Tahoma"/>
                        <w:sz w:val="12"/>
                        <w:szCs w:val="12"/>
                      </w:rPr>
                    </w:pPr>
                  </w:p>
                </w:tc>
              </w:tr>
            </w:tbl>
            <w:p w14:paraId="27ED981C" w14:textId="77777777" w:rsidR="00E00478" w:rsidRPr="00D33B49" w:rsidRDefault="00E00478" w:rsidP="00CA3BFA">
              <w:pPr>
                <w:framePr w:w="3856" w:h="1372" w:hRule="exact" w:hSpace="181" w:wrap="around" w:vAnchor="page" w:hAnchor="page" w:x="7429" w:y="3584" w:anchorLock="1"/>
                <w:rPr>
                  <w:rFonts w:ascii="Tahoma" w:hAnsi="Tahoma" w:cs="Tahoma"/>
                </w:rPr>
              </w:pPr>
            </w:p>
            <w:p w14:paraId="60F140A3" w14:textId="77777777" w:rsidR="00E63021" w:rsidRPr="00CD3C95" w:rsidRDefault="00E63021" w:rsidP="00E63021">
              <w:pPr>
                <w:rPr>
                  <w:rFonts w:ascii="Tahoma" w:hAnsi="Tahoma" w:cs="Tahoma"/>
                  <w:sz w:val="22"/>
                  <w:szCs w:val="22"/>
                </w:rPr>
              </w:pPr>
            </w:p>
            <w:p w14:paraId="22499E95" w14:textId="77777777" w:rsidR="00CB5388" w:rsidRPr="00CD3C95" w:rsidRDefault="00CB5388" w:rsidP="00E63021">
              <w:pPr>
                <w:tabs>
                  <w:tab w:val="left" w:pos="1851"/>
                </w:tabs>
                <w:rPr>
                  <w:rFonts w:ascii="Tahoma" w:hAnsi="Tahoma" w:cs="Tahoma"/>
                  <w:sz w:val="22"/>
                  <w:szCs w:val="22"/>
                </w:rPr>
              </w:pPr>
            </w:p>
            <w:p w14:paraId="7D558D25" w14:textId="77777777" w:rsidR="007F11B8" w:rsidRDefault="007F11B8" w:rsidP="00E63021">
              <w:pPr>
                <w:tabs>
                  <w:tab w:val="left" w:pos="1851"/>
                </w:tabs>
                <w:rPr>
                  <w:rFonts w:ascii="Tahoma" w:hAnsi="Tahoma" w:cs="Tahoma"/>
                  <w:sz w:val="22"/>
                  <w:szCs w:val="22"/>
                </w:rPr>
              </w:pPr>
              <w:bookmarkStart w:id="7" w:name="Betreff"/>
              <w:bookmarkEnd w:id="7"/>
            </w:p>
            <w:p w14:paraId="5614CE89" w14:textId="77777777" w:rsidR="005A1070" w:rsidRDefault="005A1070" w:rsidP="00E63021">
              <w:pPr>
                <w:tabs>
                  <w:tab w:val="left" w:pos="1851"/>
                </w:tabs>
                <w:rPr>
                  <w:rFonts w:ascii="Tahoma" w:hAnsi="Tahoma" w:cs="Tahoma"/>
                  <w:sz w:val="22"/>
                  <w:szCs w:val="22"/>
                </w:rPr>
              </w:pPr>
            </w:p>
            <w:p w14:paraId="77442E9D" w14:textId="77777777" w:rsidR="005A1070" w:rsidRDefault="005A1070" w:rsidP="00E63021">
              <w:pPr>
                <w:tabs>
                  <w:tab w:val="left" w:pos="1851"/>
                </w:tabs>
                <w:rPr>
                  <w:rFonts w:ascii="Tahoma" w:hAnsi="Tahoma" w:cs="Tahoma"/>
                  <w:sz w:val="22"/>
                  <w:szCs w:val="22"/>
                </w:rPr>
              </w:pPr>
            </w:p>
            <w:p w14:paraId="0DBD3CDE" w14:textId="77777777" w:rsidR="005A1070" w:rsidRDefault="005A1070" w:rsidP="00E63021">
              <w:pPr>
                <w:tabs>
                  <w:tab w:val="left" w:pos="1851"/>
                </w:tabs>
                <w:rPr>
                  <w:rFonts w:ascii="Tahoma" w:hAnsi="Tahoma" w:cs="Tahoma"/>
                  <w:sz w:val="22"/>
                  <w:szCs w:val="22"/>
                </w:rPr>
              </w:pPr>
            </w:p>
            <w:p w14:paraId="2FD4BFA1" w14:textId="77777777" w:rsidR="005A1070" w:rsidRDefault="005A1070" w:rsidP="00E63021">
              <w:pPr>
                <w:tabs>
                  <w:tab w:val="left" w:pos="1851"/>
                </w:tabs>
                <w:rPr>
                  <w:rFonts w:ascii="Tahoma" w:hAnsi="Tahoma" w:cs="Tahoma"/>
                  <w:sz w:val="22"/>
                  <w:szCs w:val="22"/>
                </w:rPr>
              </w:pPr>
            </w:p>
            <w:p w14:paraId="0FC8590F" w14:textId="77777777" w:rsidR="005A1070" w:rsidRDefault="005A1070" w:rsidP="00E63021">
              <w:pPr>
                <w:tabs>
                  <w:tab w:val="left" w:pos="1851"/>
                </w:tabs>
                <w:rPr>
                  <w:rFonts w:ascii="Tahoma" w:hAnsi="Tahoma" w:cs="Tahoma"/>
                  <w:sz w:val="22"/>
                  <w:szCs w:val="22"/>
                </w:rPr>
              </w:pPr>
            </w:p>
            <w:p w14:paraId="140D5890" w14:textId="77777777" w:rsidR="007F11B8" w:rsidRDefault="00DD4652" w:rsidP="00E63021">
              <w:pPr>
                <w:tabs>
                  <w:tab w:val="left" w:pos="1851"/>
                </w:tabs>
                <w:rPr>
                  <w:rFonts w:ascii="Tahoma" w:hAnsi="Tahoma" w:cs="Tahoma"/>
                  <w:sz w:val="22"/>
                  <w:szCs w:val="22"/>
                </w:rPr>
              </w:pPr>
            </w:p>
          </w:sdtContent>
        </w:sdt>
        <w:p w14:paraId="5F0B440F" w14:textId="77777777" w:rsidR="005E09B0" w:rsidRPr="00CD3C95" w:rsidRDefault="00DD4652" w:rsidP="00E63021">
          <w:pPr>
            <w:tabs>
              <w:tab w:val="left" w:pos="1851"/>
            </w:tabs>
            <w:rPr>
              <w:rFonts w:ascii="Tahoma" w:hAnsi="Tahoma" w:cs="Tahoma"/>
              <w:sz w:val="22"/>
              <w:szCs w:val="22"/>
            </w:rPr>
            <w:sectPr w:rsidR="005E09B0" w:rsidRPr="00CD3C95" w:rsidSect="006F5836">
              <w:headerReference w:type="default" r:id="rId7"/>
              <w:headerReference w:type="first" r:id="rId8"/>
              <w:footerReference w:type="first" r:id="rId9"/>
              <w:pgSz w:w="11906" w:h="16838" w:code="9"/>
              <w:pgMar w:top="991" w:right="680" w:bottom="1418" w:left="1247" w:header="850" w:footer="227" w:gutter="0"/>
              <w:cols w:space="708"/>
              <w:docGrid w:linePitch="326"/>
            </w:sectPr>
          </w:pPr>
        </w:p>
      </w:sdtContent>
    </w:sdt>
    <w:p w14:paraId="4842D59A" w14:textId="46065B88" w:rsidR="00056C71" w:rsidRPr="00056C71" w:rsidRDefault="00FD43E5" w:rsidP="00056C71">
      <w:pPr>
        <w:rPr>
          <w:rFonts w:ascii="Tahoma" w:hAnsi="Tahoma" w:cs="Tahoma"/>
          <w:sz w:val="28"/>
          <w:szCs w:val="22"/>
        </w:rPr>
      </w:pPr>
      <w:bookmarkStart w:id="8" w:name="Text"/>
      <w:bookmarkEnd w:id="8"/>
      <w:r w:rsidRPr="00FD43E5">
        <w:rPr>
          <w:rFonts w:ascii="Tahoma" w:hAnsi="Tahoma" w:cs="Tahoma"/>
          <w:b/>
          <w:bCs/>
          <w:sz w:val="28"/>
          <w:szCs w:val="22"/>
        </w:rPr>
        <w:t>Ölkühler von BITZER: neue Serie für mehr Leistung</w:t>
      </w:r>
    </w:p>
    <w:p w14:paraId="7A902768" w14:textId="2A1A8D4A" w:rsidR="00FD43E5" w:rsidRPr="00FD43E5" w:rsidRDefault="00FD43E5" w:rsidP="00FD43E5">
      <w:pPr>
        <w:spacing w:before="240" w:line="360" w:lineRule="auto"/>
        <w:rPr>
          <w:rFonts w:ascii="Tahoma" w:hAnsi="Tahoma" w:cs="Tahoma"/>
          <w:color w:val="333333"/>
          <w:sz w:val="22"/>
          <w:szCs w:val="22"/>
        </w:rPr>
      </w:pPr>
      <w:r w:rsidRPr="00FD43E5">
        <w:rPr>
          <w:rFonts w:ascii="Tahoma" w:hAnsi="Tahoma" w:cs="Tahoma"/>
          <w:i/>
          <w:iCs/>
          <w:color w:val="333333"/>
          <w:sz w:val="22"/>
          <w:szCs w:val="22"/>
        </w:rPr>
        <w:t xml:space="preserve">Um den steigenden Anforderungen moderner Anwendungen gerecht zu werden, erweitert BITZER sein Portfolio um neue wassergekühlte Ölkühler. Die OWD Serie zeichnet sich durch einen erweiterten Leistungsbereich bis zu </w:t>
      </w:r>
      <w:r w:rsidR="005852CB" w:rsidRPr="00FD43E5">
        <w:rPr>
          <w:rFonts w:ascii="Tahoma" w:hAnsi="Tahoma" w:cs="Tahoma"/>
          <w:i/>
          <w:iCs/>
          <w:color w:val="333333"/>
          <w:sz w:val="22"/>
          <w:szCs w:val="22"/>
        </w:rPr>
        <w:t>300</w:t>
      </w:r>
      <w:r w:rsidR="005852CB">
        <w:rPr>
          <w:rFonts w:ascii="Tahoma" w:hAnsi="Tahoma" w:cs="Tahoma"/>
          <w:i/>
          <w:iCs/>
          <w:color w:val="333333"/>
          <w:sz w:val="22"/>
          <w:szCs w:val="22"/>
        </w:rPr>
        <w:t> </w:t>
      </w:r>
      <w:r w:rsidRPr="00FD43E5">
        <w:rPr>
          <w:rFonts w:ascii="Tahoma" w:hAnsi="Tahoma" w:cs="Tahoma"/>
          <w:i/>
          <w:iCs/>
          <w:color w:val="333333"/>
          <w:sz w:val="22"/>
          <w:szCs w:val="22"/>
        </w:rPr>
        <w:t xml:space="preserve">kW, innovative Technologien zur Verbesserung der Wärmeübertragung und eine Vielzahl </w:t>
      </w:r>
      <w:r w:rsidR="005852CB">
        <w:rPr>
          <w:rFonts w:ascii="Tahoma" w:hAnsi="Tahoma" w:cs="Tahoma"/>
          <w:i/>
          <w:iCs/>
          <w:color w:val="333333"/>
          <w:sz w:val="22"/>
          <w:szCs w:val="22"/>
        </w:rPr>
        <w:t>vo</w:t>
      </w:r>
      <w:r w:rsidR="005852CB" w:rsidRPr="00FD43E5">
        <w:rPr>
          <w:rFonts w:ascii="Tahoma" w:hAnsi="Tahoma" w:cs="Tahoma"/>
          <w:i/>
          <w:iCs/>
          <w:color w:val="333333"/>
          <w:sz w:val="22"/>
          <w:szCs w:val="22"/>
        </w:rPr>
        <w:t xml:space="preserve">n </w:t>
      </w:r>
      <w:r w:rsidRPr="00FD43E5">
        <w:rPr>
          <w:rFonts w:ascii="Tahoma" w:hAnsi="Tahoma" w:cs="Tahoma"/>
          <w:i/>
          <w:iCs/>
          <w:color w:val="333333"/>
          <w:sz w:val="22"/>
          <w:szCs w:val="22"/>
        </w:rPr>
        <w:t>Konfigurationsmöglichkeiten aus.</w:t>
      </w:r>
    </w:p>
    <w:p w14:paraId="65EF1DAC" w14:textId="64AC470C"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t>Die OWD</w:t>
      </w:r>
      <w:r w:rsidR="005852CB">
        <w:rPr>
          <w:rFonts w:ascii="Tahoma" w:hAnsi="Tahoma" w:cs="Tahoma"/>
          <w:color w:val="333333"/>
          <w:sz w:val="22"/>
          <w:szCs w:val="22"/>
        </w:rPr>
        <w:t xml:space="preserve"> </w:t>
      </w:r>
      <w:r w:rsidRPr="00056C71">
        <w:rPr>
          <w:rFonts w:ascii="Tahoma" w:hAnsi="Tahoma" w:cs="Tahoma"/>
          <w:color w:val="333333"/>
          <w:sz w:val="22"/>
          <w:szCs w:val="22"/>
        </w:rPr>
        <w:t>Serie ist Teil eines umfassenden Portfolios, das den Leistungsbereich aller BITZER Schraubenverdichter sowohl im Einzel- als auch im Parallelbetrieb abdeckt und mit verschiedenen synthetischen Kältemitteln wie HF</w:t>
      </w:r>
      <w:r w:rsidR="00FD64FC">
        <w:rPr>
          <w:rFonts w:ascii="Tahoma" w:hAnsi="Tahoma" w:cs="Tahoma"/>
          <w:color w:val="333333"/>
          <w:sz w:val="22"/>
          <w:szCs w:val="22"/>
        </w:rPr>
        <w:t>KW</w:t>
      </w:r>
      <w:r w:rsidRPr="00056C71">
        <w:rPr>
          <w:rFonts w:ascii="Tahoma" w:hAnsi="Tahoma" w:cs="Tahoma"/>
          <w:color w:val="333333"/>
          <w:sz w:val="22"/>
          <w:szCs w:val="22"/>
        </w:rPr>
        <w:t>, HF</w:t>
      </w:r>
      <w:r w:rsidR="00FD64FC">
        <w:rPr>
          <w:rFonts w:ascii="Tahoma" w:hAnsi="Tahoma" w:cs="Tahoma"/>
          <w:color w:val="333333"/>
          <w:sz w:val="22"/>
          <w:szCs w:val="22"/>
        </w:rPr>
        <w:t>KW</w:t>
      </w:r>
      <w:r w:rsidR="005852CB">
        <w:rPr>
          <w:rFonts w:ascii="Tahoma" w:hAnsi="Tahoma" w:cs="Tahoma"/>
          <w:color w:val="333333"/>
          <w:sz w:val="22"/>
          <w:szCs w:val="22"/>
        </w:rPr>
        <w:t>/</w:t>
      </w:r>
      <w:r w:rsidRPr="00056C71">
        <w:rPr>
          <w:rFonts w:ascii="Tahoma" w:hAnsi="Tahoma" w:cs="Tahoma"/>
          <w:color w:val="333333"/>
          <w:sz w:val="22"/>
          <w:szCs w:val="22"/>
        </w:rPr>
        <w:t>HFO-</w:t>
      </w:r>
      <w:r w:rsidR="005852CB">
        <w:rPr>
          <w:rFonts w:ascii="Tahoma" w:hAnsi="Tahoma" w:cs="Tahoma"/>
          <w:color w:val="333333"/>
          <w:sz w:val="22"/>
          <w:szCs w:val="22"/>
        </w:rPr>
        <w:t>Gemischen</w:t>
      </w:r>
      <w:r w:rsidRPr="00056C71">
        <w:rPr>
          <w:rFonts w:ascii="Tahoma" w:hAnsi="Tahoma" w:cs="Tahoma"/>
          <w:color w:val="333333"/>
          <w:sz w:val="22"/>
          <w:szCs w:val="22"/>
        </w:rPr>
        <w:t>, HFO sowie Kohlenwasserstoffen kompatibel ist.</w:t>
      </w:r>
    </w:p>
    <w:p w14:paraId="21523324" w14:textId="5234F221"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t>Sie wurde speziell auf die bewährten HS und OS</w:t>
      </w:r>
      <w:r w:rsidR="00C96CE8">
        <w:rPr>
          <w:rFonts w:ascii="Tahoma" w:hAnsi="Tahoma" w:cs="Tahoma"/>
          <w:color w:val="333333"/>
          <w:sz w:val="22"/>
          <w:szCs w:val="22"/>
        </w:rPr>
        <w:t xml:space="preserve"> </w:t>
      </w:r>
      <w:r w:rsidRPr="00056C71">
        <w:rPr>
          <w:rFonts w:ascii="Tahoma" w:hAnsi="Tahoma" w:cs="Tahoma"/>
          <w:color w:val="333333"/>
          <w:sz w:val="22"/>
          <w:szCs w:val="22"/>
        </w:rPr>
        <w:t>Schraubenverdichter abgestimmt, bietet jedoch auch in Kombination mit Produkten anderer Hersteller eine zuverlässige Lösung.</w:t>
      </w:r>
    </w:p>
    <w:p w14:paraId="6980B5E1" w14:textId="7F52CC66"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t>Damit hebt sie die Effizienz und Vielseitigkeit von Ölkühlern auf ein neues Niveau – mit optimierter Leistung, erhöhter Kompatibilität und maximaler Anpassungsfähigkeit für unterschiedlichste Anwendungen.</w:t>
      </w:r>
      <w:r>
        <w:rPr>
          <w:rFonts w:ascii="Tahoma" w:hAnsi="Tahoma" w:cs="Tahoma"/>
          <w:color w:val="333333"/>
          <w:sz w:val="22"/>
          <w:szCs w:val="22"/>
        </w:rPr>
        <w:t xml:space="preserve"> </w:t>
      </w:r>
      <w:r w:rsidRPr="00056C71">
        <w:rPr>
          <w:rFonts w:ascii="Tahoma" w:hAnsi="Tahoma" w:cs="Tahoma"/>
          <w:b/>
          <w:bCs/>
          <w:color w:val="00B050"/>
          <w:sz w:val="22"/>
          <w:szCs w:val="22"/>
        </w:rPr>
        <w:t>(Abb. 1)</w:t>
      </w:r>
    </w:p>
    <w:p w14:paraId="52371CC1" w14:textId="77777777" w:rsidR="00056C71" w:rsidRPr="00056C71" w:rsidRDefault="00056C71" w:rsidP="00056C71">
      <w:pPr>
        <w:spacing w:before="240" w:line="360" w:lineRule="auto"/>
        <w:rPr>
          <w:rFonts w:ascii="Tahoma" w:hAnsi="Tahoma" w:cs="Tahoma"/>
          <w:b/>
          <w:bCs/>
          <w:color w:val="333333"/>
          <w:sz w:val="22"/>
          <w:szCs w:val="22"/>
        </w:rPr>
      </w:pPr>
      <w:r w:rsidRPr="00056C71">
        <w:rPr>
          <w:rFonts w:ascii="Tahoma" w:hAnsi="Tahoma" w:cs="Tahoma"/>
          <w:b/>
          <w:bCs/>
          <w:color w:val="333333"/>
          <w:sz w:val="22"/>
          <w:szCs w:val="22"/>
        </w:rPr>
        <w:t>Breiter Leistungsbereich und innovative Bauweise</w:t>
      </w:r>
    </w:p>
    <w:p w14:paraId="2756F70D" w14:textId="28994B0B"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t>Die OWD</w:t>
      </w:r>
      <w:r w:rsidR="00C96CE8">
        <w:rPr>
          <w:rFonts w:ascii="Tahoma" w:hAnsi="Tahoma" w:cs="Tahoma"/>
          <w:color w:val="333333"/>
          <w:sz w:val="22"/>
          <w:szCs w:val="22"/>
        </w:rPr>
        <w:t xml:space="preserve"> </w:t>
      </w:r>
      <w:r w:rsidRPr="00056C71">
        <w:rPr>
          <w:rFonts w:ascii="Tahoma" w:hAnsi="Tahoma" w:cs="Tahoma"/>
          <w:color w:val="333333"/>
          <w:sz w:val="22"/>
          <w:szCs w:val="22"/>
        </w:rPr>
        <w:t>Serie überzeugt mit einem deutlich erweiterten Leistungsbereich und einer maximalen Öl</w:t>
      </w:r>
      <w:r w:rsidR="00C96CE8">
        <w:rPr>
          <w:rFonts w:ascii="Tahoma" w:hAnsi="Tahoma" w:cs="Tahoma"/>
          <w:color w:val="333333"/>
          <w:sz w:val="22"/>
          <w:szCs w:val="22"/>
        </w:rPr>
        <w:t>k</w:t>
      </w:r>
      <w:r w:rsidRPr="00056C71">
        <w:rPr>
          <w:rFonts w:ascii="Tahoma" w:hAnsi="Tahoma" w:cs="Tahoma"/>
          <w:color w:val="333333"/>
          <w:sz w:val="22"/>
          <w:szCs w:val="22"/>
        </w:rPr>
        <w:t>ühl</w:t>
      </w:r>
      <w:r w:rsidR="00C96CE8">
        <w:rPr>
          <w:rFonts w:ascii="Tahoma" w:hAnsi="Tahoma" w:cs="Tahoma"/>
          <w:color w:val="333333"/>
          <w:sz w:val="22"/>
          <w:szCs w:val="22"/>
        </w:rPr>
        <w:t>er</w:t>
      </w:r>
      <w:r w:rsidRPr="00056C71">
        <w:rPr>
          <w:rFonts w:ascii="Tahoma" w:hAnsi="Tahoma" w:cs="Tahoma"/>
          <w:color w:val="333333"/>
          <w:sz w:val="22"/>
          <w:szCs w:val="22"/>
        </w:rPr>
        <w:t xml:space="preserve">leistung von bis zu </w:t>
      </w:r>
      <w:r w:rsidR="00C96CE8" w:rsidRPr="00056C71">
        <w:rPr>
          <w:rFonts w:ascii="Tahoma" w:hAnsi="Tahoma" w:cs="Tahoma"/>
          <w:color w:val="333333"/>
          <w:sz w:val="22"/>
          <w:szCs w:val="22"/>
        </w:rPr>
        <w:t>300</w:t>
      </w:r>
      <w:r w:rsidR="00C96CE8">
        <w:rPr>
          <w:rFonts w:ascii="Tahoma" w:hAnsi="Tahoma" w:cs="Tahoma"/>
          <w:color w:val="333333"/>
          <w:sz w:val="22"/>
          <w:szCs w:val="22"/>
        </w:rPr>
        <w:t> </w:t>
      </w:r>
      <w:r w:rsidRPr="00056C71">
        <w:rPr>
          <w:rFonts w:ascii="Tahoma" w:hAnsi="Tahoma" w:cs="Tahoma"/>
          <w:color w:val="333333"/>
          <w:sz w:val="22"/>
          <w:szCs w:val="22"/>
        </w:rPr>
        <w:t>kW, abhängig von den jeweiligen Betriebsbedingungen. Dies ermöglicht es, selbst anspruchsvollste Kühlaufgaben in Hochtemperaturwärmepumpen- und Tiefkühlanwendungen effizient zu meistern. Eine Besonderheit der Serie ist die Verwendung von Disk- und Doughnut-</w:t>
      </w:r>
      <w:proofErr w:type="spellStart"/>
      <w:r w:rsidRPr="00056C71">
        <w:rPr>
          <w:rFonts w:ascii="Tahoma" w:hAnsi="Tahoma" w:cs="Tahoma"/>
          <w:color w:val="333333"/>
          <w:sz w:val="22"/>
          <w:szCs w:val="22"/>
        </w:rPr>
        <w:t>Baffles</w:t>
      </w:r>
      <w:proofErr w:type="spellEnd"/>
      <w:r w:rsidRPr="00056C71">
        <w:rPr>
          <w:rFonts w:ascii="Tahoma" w:hAnsi="Tahoma" w:cs="Tahoma"/>
          <w:color w:val="333333"/>
          <w:sz w:val="22"/>
          <w:szCs w:val="22"/>
        </w:rPr>
        <w:t xml:space="preserve">, die </w:t>
      </w:r>
      <w:proofErr w:type="spellStart"/>
      <w:r w:rsidRPr="00056C71">
        <w:rPr>
          <w:rFonts w:ascii="Tahoma" w:hAnsi="Tahoma" w:cs="Tahoma"/>
          <w:color w:val="333333"/>
          <w:sz w:val="22"/>
          <w:szCs w:val="22"/>
        </w:rPr>
        <w:t>ölseitig</w:t>
      </w:r>
      <w:proofErr w:type="spellEnd"/>
      <w:r w:rsidRPr="00056C71">
        <w:rPr>
          <w:rFonts w:ascii="Tahoma" w:hAnsi="Tahoma" w:cs="Tahoma"/>
          <w:color w:val="333333"/>
          <w:sz w:val="22"/>
          <w:szCs w:val="22"/>
        </w:rPr>
        <w:t xml:space="preserve"> eine gleichmäßige Beaufschlagung der Rohre im Kühler </w:t>
      </w:r>
      <w:r w:rsidRPr="00056C71">
        <w:rPr>
          <w:rFonts w:ascii="Tahoma" w:hAnsi="Tahoma" w:cs="Tahoma"/>
          <w:color w:val="333333"/>
          <w:sz w:val="22"/>
          <w:szCs w:val="22"/>
        </w:rPr>
        <w:lastRenderedPageBreak/>
        <w:t xml:space="preserve">sicherstellen. Diese Technologie verbessert den Wärmeübergang auf der </w:t>
      </w:r>
      <w:proofErr w:type="spellStart"/>
      <w:r w:rsidRPr="00056C71">
        <w:rPr>
          <w:rFonts w:ascii="Tahoma" w:hAnsi="Tahoma" w:cs="Tahoma"/>
          <w:color w:val="333333"/>
          <w:sz w:val="22"/>
          <w:szCs w:val="22"/>
        </w:rPr>
        <w:t>Ölseite</w:t>
      </w:r>
      <w:proofErr w:type="spellEnd"/>
      <w:r w:rsidRPr="00056C71">
        <w:rPr>
          <w:rFonts w:ascii="Tahoma" w:hAnsi="Tahoma" w:cs="Tahoma"/>
          <w:color w:val="333333"/>
          <w:sz w:val="22"/>
          <w:szCs w:val="22"/>
        </w:rPr>
        <w:t xml:space="preserve"> und reduziert gleichzeitig Strömungsspitzen bei geringen Druckverlusten.</w:t>
      </w:r>
    </w:p>
    <w:p w14:paraId="4E506685" w14:textId="1BE0B4DF"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t>Für die Ölkühler der OWD</w:t>
      </w:r>
      <w:r w:rsidR="00C96CE8">
        <w:rPr>
          <w:rFonts w:ascii="Tahoma" w:hAnsi="Tahoma" w:cs="Tahoma"/>
          <w:color w:val="333333"/>
          <w:sz w:val="22"/>
          <w:szCs w:val="22"/>
        </w:rPr>
        <w:t xml:space="preserve"> </w:t>
      </w:r>
      <w:r w:rsidRPr="00056C71">
        <w:rPr>
          <w:rFonts w:ascii="Tahoma" w:hAnsi="Tahoma" w:cs="Tahoma"/>
          <w:color w:val="333333"/>
          <w:sz w:val="22"/>
          <w:szCs w:val="22"/>
        </w:rPr>
        <w:t>Serie stehen insgesamt 17 Produktvarianten zur Verfügung, die als 2-Pass- und 4-Pass-Variante ausgeführt werden können.</w:t>
      </w:r>
    </w:p>
    <w:p w14:paraId="7D79CA03" w14:textId="3AD3F2B2"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t xml:space="preserve">Diese Flexibilität ermöglicht eine optimale Anpassung an die individuellen Anforderungen verschiedener Anwendungen. </w:t>
      </w:r>
      <w:r w:rsidRPr="00056C71">
        <w:rPr>
          <w:rFonts w:ascii="Tahoma" w:hAnsi="Tahoma" w:cs="Tahoma"/>
          <w:b/>
          <w:bCs/>
          <w:color w:val="00B050"/>
          <w:sz w:val="22"/>
          <w:szCs w:val="22"/>
        </w:rPr>
        <w:t>(Abb. 2)</w:t>
      </w:r>
    </w:p>
    <w:p w14:paraId="1B9EA66F" w14:textId="77777777"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b/>
          <w:bCs/>
          <w:color w:val="333333"/>
          <w:sz w:val="22"/>
          <w:szCs w:val="22"/>
        </w:rPr>
        <w:t>Technologische Vorteile der Disk- und Doughnut-</w:t>
      </w:r>
      <w:proofErr w:type="spellStart"/>
      <w:r w:rsidRPr="00056C71">
        <w:rPr>
          <w:rFonts w:ascii="Tahoma" w:hAnsi="Tahoma" w:cs="Tahoma"/>
          <w:b/>
          <w:bCs/>
          <w:color w:val="333333"/>
          <w:sz w:val="22"/>
          <w:szCs w:val="22"/>
        </w:rPr>
        <w:t>Baffles</w:t>
      </w:r>
      <w:proofErr w:type="spellEnd"/>
    </w:p>
    <w:p w14:paraId="3063A380" w14:textId="16879A9E"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t>Die neuen Disk- und Doughnut-</w:t>
      </w:r>
      <w:proofErr w:type="spellStart"/>
      <w:r w:rsidRPr="00056C71">
        <w:rPr>
          <w:rFonts w:ascii="Tahoma" w:hAnsi="Tahoma" w:cs="Tahoma"/>
          <w:color w:val="333333"/>
          <w:sz w:val="22"/>
          <w:szCs w:val="22"/>
        </w:rPr>
        <w:t>Baffles</w:t>
      </w:r>
      <w:proofErr w:type="spellEnd"/>
      <w:r w:rsidRPr="00056C71">
        <w:rPr>
          <w:rFonts w:ascii="Tahoma" w:hAnsi="Tahoma" w:cs="Tahoma"/>
          <w:color w:val="333333"/>
          <w:sz w:val="22"/>
          <w:szCs w:val="22"/>
        </w:rPr>
        <w:t xml:space="preserve"> ermöglichen eine symmetrische Strömung, die für eine gleichmäßige Verteilung des Öls und eine maximale Wärmeübertragung sorgt. Durch die optimierte Strömungsführung wird das Strömungsbild verbessert und ungewollte Turbulenzen </w:t>
      </w:r>
      <w:r w:rsidR="00C96CE8">
        <w:rPr>
          <w:rFonts w:ascii="Tahoma" w:hAnsi="Tahoma" w:cs="Tahoma"/>
          <w:color w:val="333333"/>
          <w:sz w:val="22"/>
          <w:szCs w:val="22"/>
        </w:rPr>
        <w:t xml:space="preserve">werden </w:t>
      </w:r>
      <w:r w:rsidRPr="00056C71">
        <w:rPr>
          <w:rFonts w:ascii="Tahoma" w:hAnsi="Tahoma" w:cs="Tahoma"/>
          <w:color w:val="333333"/>
          <w:sz w:val="22"/>
          <w:szCs w:val="22"/>
        </w:rPr>
        <w:t>minimiert, was nicht nur die Effizienz steigert, sondern auch die Betriebsfestigkeit und somit die Lebensdauer erhöht. Unabhängig von der Größe des Ölkühlers sorgt die OWD</w:t>
      </w:r>
      <w:r w:rsidR="00C96CE8">
        <w:rPr>
          <w:rFonts w:ascii="Tahoma" w:hAnsi="Tahoma" w:cs="Tahoma"/>
          <w:color w:val="333333"/>
          <w:sz w:val="22"/>
          <w:szCs w:val="22"/>
        </w:rPr>
        <w:t xml:space="preserve"> </w:t>
      </w:r>
      <w:r w:rsidRPr="00056C71">
        <w:rPr>
          <w:rFonts w:ascii="Tahoma" w:hAnsi="Tahoma" w:cs="Tahoma"/>
          <w:color w:val="333333"/>
          <w:sz w:val="22"/>
          <w:szCs w:val="22"/>
        </w:rPr>
        <w:t xml:space="preserve">Serie durch angepasste </w:t>
      </w:r>
      <w:proofErr w:type="spellStart"/>
      <w:r w:rsidRPr="00056C71">
        <w:rPr>
          <w:rFonts w:ascii="Tahoma" w:hAnsi="Tahoma" w:cs="Tahoma"/>
          <w:color w:val="333333"/>
          <w:sz w:val="22"/>
          <w:szCs w:val="22"/>
        </w:rPr>
        <w:t>Baffle</w:t>
      </w:r>
      <w:proofErr w:type="spellEnd"/>
      <w:r w:rsidRPr="00056C71">
        <w:rPr>
          <w:rFonts w:ascii="Tahoma" w:hAnsi="Tahoma" w:cs="Tahoma"/>
          <w:color w:val="333333"/>
          <w:sz w:val="22"/>
          <w:szCs w:val="22"/>
        </w:rPr>
        <w:t>-Abstände für eine optimierte Strömungsgeschwindigkeit. Dadurch wird eine optimale Balance zwischen Wärmeübertragung und Druckverlust erreicht, selbst bei größeren Geräten.</w:t>
      </w:r>
    </w:p>
    <w:p w14:paraId="38228949" w14:textId="0AE21898" w:rsidR="00CE6546" w:rsidRDefault="00056C71" w:rsidP="00056C71">
      <w:pPr>
        <w:spacing w:before="240" w:line="360" w:lineRule="auto"/>
        <w:rPr>
          <w:rFonts w:ascii="Tahoma" w:hAnsi="Tahoma" w:cs="Tahoma"/>
          <w:color w:val="333333"/>
          <w:sz w:val="22"/>
          <w:szCs w:val="22"/>
          <w:highlight w:val="yellow"/>
        </w:rPr>
      </w:pPr>
      <w:r w:rsidRPr="00056C71">
        <w:rPr>
          <w:rFonts w:ascii="Tahoma" w:hAnsi="Tahoma" w:cs="Tahoma"/>
          <w:color w:val="333333"/>
          <w:sz w:val="22"/>
          <w:szCs w:val="22"/>
        </w:rPr>
        <w:t>Im Vergleich zur Vorgängerserie OW bietet die OWD</w:t>
      </w:r>
      <w:r w:rsidR="00C96CE8">
        <w:rPr>
          <w:rFonts w:ascii="Tahoma" w:hAnsi="Tahoma" w:cs="Tahoma"/>
          <w:color w:val="333333"/>
          <w:sz w:val="22"/>
          <w:szCs w:val="22"/>
        </w:rPr>
        <w:t xml:space="preserve"> </w:t>
      </w:r>
      <w:r w:rsidRPr="00056C71">
        <w:rPr>
          <w:rFonts w:ascii="Tahoma" w:hAnsi="Tahoma" w:cs="Tahoma"/>
          <w:color w:val="333333"/>
          <w:sz w:val="22"/>
          <w:szCs w:val="22"/>
        </w:rPr>
        <w:t xml:space="preserve">Serie den Vorteil, dass aufgrund der Konstruktion weniger Toträume innerhalb des Wärmeübertragers entstehen. Dies führt zu einer effektiveren Nutzung der gesamten Rohroberfläche und erhöht den Wärmedurchsatz. Zudem ermöglicht der optimierte Bauraum die Integration einer höheren Anzahl an Rohren, sodass eine besonders hohe Leistungsdichte </w:t>
      </w:r>
      <w:r w:rsidRPr="00A913C9">
        <w:rPr>
          <w:rFonts w:ascii="Tahoma" w:hAnsi="Tahoma" w:cs="Tahoma"/>
          <w:color w:val="333333"/>
          <w:sz w:val="22"/>
          <w:szCs w:val="22"/>
        </w:rPr>
        <w:t>erreicht wird.</w:t>
      </w:r>
      <w:r w:rsidR="004F3C16" w:rsidRPr="00A913C9">
        <w:rPr>
          <w:rFonts w:ascii="Tahoma" w:hAnsi="Tahoma" w:cs="Tahoma"/>
          <w:color w:val="333333"/>
          <w:sz w:val="22"/>
          <w:szCs w:val="22"/>
        </w:rPr>
        <w:t xml:space="preserve"> Berechnungen zeigen, dass </w:t>
      </w:r>
      <w:r w:rsidR="00CE6546" w:rsidRPr="00A913C9">
        <w:rPr>
          <w:rFonts w:ascii="Tahoma" w:hAnsi="Tahoma" w:cs="Tahoma"/>
          <w:color w:val="333333"/>
          <w:sz w:val="22"/>
          <w:szCs w:val="22"/>
        </w:rPr>
        <w:t xml:space="preserve">die neue Ölkühlerserie mehr als 40% </w:t>
      </w:r>
      <w:r w:rsidR="004F3C16" w:rsidRPr="00A913C9">
        <w:rPr>
          <w:rFonts w:ascii="Tahoma" w:hAnsi="Tahoma" w:cs="Tahoma"/>
          <w:color w:val="333333"/>
          <w:sz w:val="22"/>
          <w:szCs w:val="22"/>
        </w:rPr>
        <w:t>CO</w:t>
      </w:r>
      <w:r w:rsidR="004F3C16" w:rsidRPr="00A913C9">
        <w:rPr>
          <w:rFonts w:ascii="Tahoma" w:hAnsi="Tahoma" w:cs="Tahoma"/>
          <w:color w:val="333333"/>
          <w:sz w:val="22"/>
          <w:szCs w:val="22"/>
          <w:vertAlign w:val="subscript"/>
        </w:rPr>
        <w:t>2</w:t>
      </w:r>
      <w:r w:rsidR="004F3C16" w:rsidRPr="00A913C9">
        <w:rPr>
          <w:rFonts w:ascii="Tahoma" w:hAnsi="Tahoma" w:cs="Tahoma"/>
          <w:color w:val="333333"/>
          <w:sz w:val="22"/>
          <w:szCs w:val="22"/>
        </w:rPr>
        <w:t>-Äquivalent</w:t>
      </w:r>
      <w:r w:rsidR="00CE6546" w:rsidRPr="00A913C9">
        <w:rPr>
          <w:rFonts w:ascii="Tahoma" w:hAnsi="Tahoma" w:cs="Tahoma"/>
          <w:color w:val="333333"/>
          <w:sz w:val="22"/>
          <w:szCs w:val="22"/>
        </w:rPr>
        <w:t xml:space="preserve"> im Vergleich zur bisherigen Serie einspart</w:t>
      </w:r>
      <w:r w:rsidR="00986A35" w:rsidRPr="00A913C9">
        <w:rPr>
          <w:rFonts w:ascii="Tahoma" w:hAnsi="Tahoma" w:cs="Tahoma"/>
          <w:color w:val="333333"/>
          <w:sz w:val="22"/>
          <w:szCs w:val="22"/>
        </w:rPr>
        <w:t xml:space="preserve"> und somit</w:t>
      </w:r>
      <w:r w:rsidR="006950B6" w:rsidRPr="00A913C9">
        <w:rPr>
          <w:rFonts w:ascii="Tahoma" w:hAnsi="Tahoma" w:cs="Tahoma"/>
          <w:color w:val="333333"/>
          <w:sz w:val="22"/>
          <w:szCs w:val="22"/>
        </w:rPr>
        <w:t xml:space="preserve"> auch</w:t>
      </w:r>
      <w:r w:rsidR="00986A35" w:rsidRPr="00A913C9">
        <w:rPr>
          <w:rFonts w:ascii="Tahoma" w:hAnsi="Tahoma" w:cs="Tahoma"/>
          <w:color w:val="333333"/>
          <w:sz w:val="22"/>
          <w:szCs w:val="22"/>
        </w:rPr>
        <w:t xml:space="preserve"> einen wesentlichen Beitrag zur Nachhaltigkeit leistet. </w:t>
      </w:r>
    </w:p>
    <w:p w14:paraId="61D7DA44" w14:textId="4023D287"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t xml:space="preserve">Die </w:t>
      </w:r>
      <w:proofErr w:type="spellStart"/>
      <w:r w:rsidRPr="00056C71">
        <w:rPr>
          <w:rFonts w:ascii="Tahoma" w:hAnsi="Tahoma" w:cs="Tahoma"/>
          <w:color w:val="333333"/>
          <w:sz w:val="22"/>
          <w:szCs w:val="22"/>
        </w:rPr>
        <w:t>Baffles</w:t>
      </w:r>
      <w:proofErr w:type="spellEnd"/>
      <w:r w:rsidRPr="00056C71">
        <w:rPr>
          <w:rFonts w:ascii="Tahoma" w:hAnsi="Tahoma" w:cs="Tahoma"/>
          <w:color w:val="333333"/>
          <w:sz w:val="22"/>
          <w:szCs w:val="22"/>
        </w:rPr>
        <w:t xml:space="preserve"> sind außerdem temperaturbeständig und halten problemlos Temperaturen über </w:t>
      </w:r>
      <w:r w:rsidR="008250FA">
        <w:rPr>
          <w:rFonts w:ascii="Tahoma" w:hAnsi="Tahoma" w:cs="Tahoma"/>
          <w:color w:val="333333"/>
          <w:sz w:val="22"/>
          <w:szCs w:val="22"/>
        </w:rPr>
        <w:t>+</w:t>
      </w:r>
      <w:r w:rsidRPr="00056C71">
        <w:rPr>
          <w:rFonts w:ascii="Tahoma" w:hAnsi="Tahoma" w:cs="Tahoma"/>
          <w:color w:val="333333"/>
          <w:sz w:val="22"/>
          <w:szCs w:val="22"/>
        </w:rPr>
        <w:t>150°C stand. Damit ist die OWD</w:t>
      </w:r>
      <w:r w:rsidR="00682A00">
        <w:rPr>
          <w:rFonts w:ascii="Tahoma" w:hAnsi="Tahoma" w:cs="Tahoma"/>
          <w:color w:val="333333"/>
          <w:sz w:val="22"/>
          <w:szCs w:val="22"/>
        </w:rPr>
        <w:t xml:space="preserve"> </w:t>
      </w:r>
      <w:r w:rsidRPr="00056C71">
        <w:rPr>
          <w:rFonts w:ascii="Tahoma" w:hAnsi="Tahoma" w:cs="Tahoma"/>
          <w:color w:val="333333"/>
          <w:sz w:val="22"/>
          <w:szCs w:val="22"/>
        </w:rPr>
        <w:t>Serie auch für anspruchsvolle Umgebungen bestens gerüstet.</w:t>
      </w:r>
    </w:p>
    <w:p w14:paraId="30DD55DF" w14:textId="1C85CFC4" w:rsidR="00056C71" w:rsidRDefault="00056C71" w:rsidP="00056C71">
      <w:pPr>
        <w:spacing w:before="240" w:line="360" w:lineRule="auto"/>
        <w:rPr>
          <w:rFonts w:ascii="Tahoma" w:hAnsi="Tahoma" w:cs="Tahoma"/>
          <w:b/>
          <w:bCs/>
          <w:color w:val="00B050"/>
          <w:sz w:val="22"/>
          <w:szCs w:val="22"/>
        </w:rPr>
      </w:pPr>
      <w:r w:rsidRPr="00056C71">
        <w:rPr>
          <w:rFonts w:ascii="Tahoma" w:hAnsi="Tahoma" w:cs="Tahoma"/>
          <w:color w:val="333333"/>
          <w:sz w:val="22"/>
          <w:szCs w:val="22"/>
        </w:rPr>
        <w:t>Unter Verwendung modernster Methoden, darunter Strömungssimulationen (CFD) und umfangreiche Laboruntersuchungen, wurde die OWD</w:t>
      </w:r>
      <w:r w:rsidR="00682A00">
        <w:rPr>
          <w:rFonts w:ascii="Tahoma" w:hAnsi="Tahoma" w:cs="Tahoma"/>
          <w:color w:val="333333"/>
          <w:sz w:val="22"/>
          <w:szCs w:val="22"/>
        </w:rPr>
        <w:t xml:space="preserve"> </w:t>
      </w:r>
      <w:r w:rsidRPr="00056C71">
        <w:rPr>
          <w:rFonts w:ascii="Tahoma" w:hAnsi="Tahoma" w:cs="Tahoma"/>
          <w:color w:val="333333"/>
          <w:sz w:val="22"/>
          <w:szCs w:val="22"/>
        </w:rPr>
        <w:t xml:space="preserve">Serie gezielt für den speziellen Anwendungsfall in der Kälte- und Wärmepumpentechnik entwickelt. Durch </w:t>
      </w:r>
      <w:r w:rsidR="00682A00">
        <w:rPr>
          <w:rFonts w:ascii="Tahoma" w:hAnsi="Tahoma" w:cs="Tahoma"/>
          <w:color w:val="333333"/>
          <w:sz w:val="22"/>
          <w:szCs w:val="22"/>
        </w:rPr>
        <w:t xml:space="preserve">die </w:t>
      </w:r>
      <w:r w:rsidRPr="00056C71">
        <w:rPr>
          <w:rFonts w:ascii="Tahoma" w:hAnsi="Tahoma" w:cs="Tahoma"/>
          <w:color w:val="333333"/>
          <w:sz w:val="22"/>
          <w:szCs w:val="22"/>
        </w:rPr>
        <w:t>präzise Abstimmung auf die Anforderungen und die Optimierung für den Einsatz mit BITZER</w:t>
      </w:r>
      <w:r w:rsidR="00FD64FC">
        <w:rPr>
          <w:rFonts w:ascii="Tahoma" w:hAnsi="Tahoma" w:cs="Tahoma"/>
          <w:color w:val="333333"/>
          <w:sz w:val="22"/>
          <w:szCs w:val="22"/>
        </w:rPr>
        <w:t xml:space="preserve"> </w:t>
      </w:r>
      <w:r w:rsidRPr="00056C71">
        <w:rPr>
          <w:rFonts w:ascii="Tahoma" w:hAnsi="Tahoma" w:cs="Tahoma"/>
          <w:color w:val="333333"/>
          <w:sz w:val="22"/>
          <w:szCs w:val="22"/>
        </w:rPr>
        <w:t>Produkten gewährleistet sie eine herausragende Effizienz und Betriebssicherheit.</w:t>
      </w:r>
      <w:r>
        <w:rPr>
          <w:rFonts w:ascii="Tahoma" w:hAnsi="Tahoma" w:cs="Tahoma"/>
          <w:color w:val="333333"/>
          <w:sz w:val="22"/>
          <w:szCs w:val="22"/>
        </w:rPr>
        <w:t xml:space="preserve"> </w:t>
      </w:r>
      <w:r w:rsidRPr="00056C71">
        <w:rPr>
          <w:rFonts w:ascii="Tahoma" w:hAnsi="Tahoma" w:cs="Tahoma"/>
          <w:b/>
          <w:bCs/>
          <w:color w:val="00B050"/>
          <w:sz w:val="22"/>
          <w:szCs w:val="22"/>
        </w:rPr>
        <w:t>(Abb. 3)</w:t>
      </w:r>
    </w:p>
    <w:p w14:paraId="52628CEC" w14:textId="77777777" w:rsidR="00286E9A" w:rsidRPr="00056C71" w:rsidRDefault="00286E9A" w:rsidP="00056C71">
      <w:pPr>
        <w:spacing w:before="240" w:line="360" w:lineRule="auto"/>
        <w:rPr>
          <w:rFonts w:ascii="Tahoma" w:hAnsi="Tahoma" w:cs="Tahoma"/>
          <w:color w:val="333333"/>
          <w:sz w:val="22"/>
          <w:szCs w:val="22"/>
        </w:rPr>
      </w:pPr>
    </w:p>
    <w:p w14:paraId="335D22FE" w14:textId="77777777"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b/>
          <w:bCs/>
          <w:color w:val="333333"/>
          <w:sz w:val="22"/>
          <w:szCs w:val="22"/>
        </w:rPr>
        <w:lastRenderedPageBreak/>
        <w:t>Einsatzmöglichkeiten und vielseitige Anwendungen</w:t>
      </w:r>
    </w:p>
    <w:p w14:paraId="171440BE" w14:textId="3FCF38FA"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t>Die OWD</w:t>
      </w:r>
      <w:r w:rsidR="00682A00">
        <w:rPr>
          <w:rFonts w:ascii="Tahoma" w:hAnsi="Tahoma" w:cs="Tahoma"/>
          <w:color w:val="333333"/>
          <w:sz w:val="22"/>
          <w:szCs w:val="22"/>
        </w:rPr>
        <w:t xml:space="preserve"> </w:t>
      </w:r>
      <w:r w:rsidRPr="00056C71">
        <w:rPr>
          <w:rFonts w:ascii="Tahoma" w:hAnsi="Tahoma" w:cs="Tahoma"/>
          <w:color w:val="333333"/>
          <w:sz w:val="22"/>
          <w:szCs w:val="22"/>
        </w:rPr>
        <w:t xml:space="preserve">Serie ist so konzipiert, dass sie in einer Vielzahl von Anwendungen zuverlässig eingesetzt werden kann. Sie ist für den Einsatz mit Normal- und Meerwasser geeignet und deckt einen breiten Temperatur- und Druckbereich ab. </w:t>
      </w:r>
      <w:proofErr w:type="spellStart"/>
      <w:r w:rsidRPr="00056C71">
        <w:rPr>
          <w:rFonts w:ascii="Tahoma" w:hAnsi="Tahoma" w:cs="Tahoma"/>
          <w:color w:val="333333"/>
          <w:sz w:val="22"/>
          <w:szCs w:val="22"/>
        </w:rPr>
        <w:t>Ölseitig</w:t>
      </w:r>
      <w:proofErr w:type="spellEnd"/>
      <w:r w:rsidRPr="00056C71">
        <w:rPr>
          <w:rFonts w:ascii="Tahoma" w:hAnsi="Tahoma" w:cs="Tahoma"/>
          <w:color w:val="333333"/>
          <w:sz w:val="22"/>
          <w:szCs w:val="22"/>
        </w:rPr>
        <w:t xml:space="preserve"> kann sie Temperaturen von </w:t>
      </w:r>
      <w:bookmarkStart w:id="9" w:name="_Hlk195601363"/>
      <w:r w:rsidR="00682A00">
        <w:rPr>
          <w:rFonts w:ascii="Tahoma" w:hAnsi="Tahoma" w:cs="Tahoma"/>
          <w:color w:val="333333"/>
          <w:sz w:val="22"/>
          <w:szCs w:val="22"/>
        </w:rPr>
        <w:t>–</w:t>
      </w:r>
      <w:r w:rsidRPr="00056C71">
        <w:rPr>
          <w:rFonts w:ascii="Tahoma" w:hAnsi="Tahoma" w:cs="Tahoma"/>
          <w:color w:val="333333"/>
          <w:sz w:val="22"/>
          <w:szCs w:val="22"/>
        </w:rPr>
        <w:t xml:space="preserve">20°C </w:t>
      </w:r>
      <w:bookmarkEnd w:id="9"/>
      <w:r w:rsidRPr="00056C71">
        <w:rPr>
          <w:rFonts w:ascii="Tahoma" w:hAnsi="Tahoma" w:cs="Tahoma"/>
          <w:color w:val="333333"/>
          <w:sz w:val="22"/>
          <w:szCs w:val="22"/>
        </w:rPr>
        <w:t xml:space="preserve">bis +150°C und Drücke von bis zu </w:t>
      </w:r>
      <w:r w:rsidR="005A26A6" w:rsidRPr="00056C71">
        <w:rPr>
          <w:rFonts w:ascii="Tahoma" w:hAnsi="Tahoma" w:cs="Tahoma"/>
          <w:color w:val="333333"/>
          <w:sz w:val="22"/>
          <w:szCs w:val="22"/>
        </w:rPr>
        <w:t>32</w:t>
      </w:r>
      <w:r w:rsidR="005A26A6">
        <w:rPr>
          <w:rFonts w:ascii="Tahoma" w:hAnsi="Tahoma" w:cs="Tahoma"/>
          <w:color w:val="333333"/>
          <w:sz w:val="22"/>
          <w:szCs w:val="22"/>
        </w:rPr>
        <w:t> </w:t>
      </w:r>
      <w:r w:rsidRPr="00056C71">
        <w:rPr>
          <w:rFonts w:ascii="Tahoma" w:hAnsi="Tahoma" w:cs="Tahoma"/>
          <w:color w:val="333333"/>
          <w:sz w:val="22"/>
          <w:szCs w:val="22"/>
        </w:rPr>
        <w:t xml:space="preserve">bar bewältigen, wasserseitig von </w:t>
      </w:r>
      <w:bookmarkStart w:id="10" w:name="_Hlk195601375"/>
      <w:r w:rsidR="00682A00">
        <w:rPr>
          <w:rFonts w:ascii="Tahoma" w:hAnsi="Tahoma" w:cs="Tahoma"/>
          <w:color w:val="333333"/>
          <w:sz w:val="22"/>
          <w:szCs w:val="22"/>
        </w:rPr>
        <w:t>–</w:t>
      </w:r>
      <w:r w:rsidRPr="00056C71">
        <w:rPr>
          <w:rFonts w:ascii="Tahoma" w:hAnsi="Tahoma" w:cs="Tahoma"/>
          <w:color w:val="333333"/>
          <w:sz w:val="22"/>
          <w:szCs w:val="22"/>
        </w:rPr>
        <w:t xml:space="preserve">20°C </w:t>
      </w:r>
      <w:bookmarkEnd w:id="10"/>
      <w:r w:rsidRPr="00056C71">
        <w:rPr>
          <w:rFonts w:ascii="Tahoma" w:hAnsi="Tahoma" w:cs="Tahoma"/>
          <w:color w:val="333333"/>
          <w:sz w:val="22"/>
          <w:szCs w:val="22"/>
        </w:rPr>
        <w:t xml:space="preserve">bis +95°C bei </w:t>
      </w:r>
      <w:r w:rsidR="005A26A6" w:rsidRPr="00056C71">
        <w:rPr>
          <w:rFonts w:ascii="Tahoma" w:hAnsi="Tahoma" w:cs="Tahoma"/>
          <w:color w:val="333333"/>
          <w:sz w:val="22"/>
          <w:szCs w:val="22"/>
        </w:rPr>
        <w:t>10</w:t>
      </w:r>
      <w:r w:rsidR="005A26A6">
        <w:rPr>
          <w:rFonts w:ascii="Tahoma" w:hAnsi="Tahoma" w:cs="Tahoma"/>
          <w:color w:val="333333"/>
          <w:sz w:val="22"/>
          <w:szCs w:val="22"/>
        </w:rPr>
        <w:t> </w:t>
      </w:r>
      <w:r w:rsidRPr="00056C71">
        <w:rPr>
          <w:rFonts w:ascii="Tahoma" w:hAnsi="Tahoma" w:cs="Tahoma"/>
          <w:color w:val="333333"/>
          <w:sz w:val="22"/>
          <w:szCs w:val="22"/>
        </w:rPr>
        <w:t>bar.</w:t>
      </w:r>
    </w:p>
    <w:p w14:paraId="6B49D390" w14:textId="505B63F5"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t>Die Ölkühler der OWD</w:t>
      </w:r>
      <w:r w:rsidR="003B0457">
        <w:rPr>
          <w:rFonts w:ascii="Tahoma" w:hAnsi="Tahoma" w:cs="Tahoma"/>
          <w:color w:val="333333"/>
          <w:sz w:val="22"/>
          <w:szCs w:val="22"/>
        </w:rPr>
        <w:t xml:space="preserve"> </w:t>
      </w:r>
      <w:r w:rsidRPr="00056C71">
        <w:rPr>
          <w:rFonts w:ascii="Tahoma" w:hAnsi="Tahoma" w:cs="Tahoma"/>
          <w:color w:val="333333"/>
          <w:sz w:val="22"/>
          <w:szCs w:val="22"/>
        </w:rPr>
        <w:t xml:space="preserve">Serie erfüllen strenge Anforderungen hinsichtlich Temperaturbeständigkeit, Druckfestigkeit und Korrosionsschutz und entsprechen den Vorgaben der CE-PED-, SELO-CML-, BV- und DNV-Zulassungen, was sie für den Einsatz in maritimen und industriellen Wärmepumpen- und Tiefkühlanwendungen qualifiziert sowie </w:t>
      </w:r>
      <w:r w:rsidR="003B0457">
        <w:rPr>
          <w:rFonts w:ascii="Tahoma" w:hAnsi="Tahoma" w:cs="Tahoma"/>
          <w:color w:val="333333"/>
          <w:sz w:val="22"/>
          <w:szCs w:val="22"/>
        </w:rPr>
        <w:t xml:space="preserve">für </w:t>
      </w:r>
      <w:r w:rsidRPr="00056C71">
        <w:rPr>
          <w:rFonts w:ascii="Tahoma" w:hAnsi="Tahoma" w:cs="Tahoma"/>
          <w:color w:val="333333"/>
          <w:sz w:val="22"/>
          <w:szCs w:val="22"/>
        </w:rPr>
        <w:t>den Einsatz im Hochtemperaturbereich.</w:t>
      </w:r>
    </w:p>
    <w:p w14:paraId="0A461F0C" w14:textId="77777777"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b/>
          <w:bCs/>
          <w:color w:val="333333"/>
          <w:sz w:val="22"/>
          <w:szCs w:val="22"/>
        </w:rPr>
        <w:t>Auslegung und Software</w:t>
      </w:r>
    </w:p>
    <w:p w14:paraId="3F21B9D8" w14:textId="0F3E175D"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t>Die OWD</w:t>
      </w:r>
      <w:r w:rsidR="003B0457">
        <w:rPr>
          <w:rFonts w:ascii="Tahoma" w:hAnsi="Tahoma" w:cs="Tahoma"/>
          <w:color w:val="333333"/>
          <w:sz w:val="22"/>
          <w:szCs w:val="22"/>
        </w:rPr>
        <w:t xml:space="preserve"> </w:t>
      </w:r>
      <w:r w:rsidRPr="00056C71">
        <w:rPr>
          <w:rFonts w:ascii="Tahoma" w:hAnsi="Tahoma" w:cs="Tahoma"/>
          <w:color w:val="333333"/>
          <w:sz w:val="22"/>
          <w:szCs w:val="22"/>
        </w:rPr>
        <w:t>Serie kann in Verbindung mit den offenen OS und halbhermetischen HS</w:t>
      </w:r>
      <w:r w:rsidR="003B0457">
        <w:rPr>
          <w:rFonts w:ascii="Tahoma" w:hAnsi="Tahoma" w:cs="Tahoma"/>
          <w:color w:val="333333"/>
          <w:sz w:val="22"/>
          <w:szCs w:val="22"/>
        </w:rPr>
        <w:t xml:space="preserve"> </w:t>
      </w:r>
      <w:r w:rsidRPr="00056C71">
        <w:rPr>
          <w:rFonts w:ascii="Tahoma" w:hAnsi="Tahoma" w:cs="Tahoma"/>
          <w:color w:val="333333"/>
          <w:sz w:val="22"/>
          <w:szCs w:val="22"/>
        </w:rPr>
        <w:t xml:space="preserve">Schraubenverdichtern aus dem Hause BITZER in der BITZER </w:t>
      </w:r>
      <w:r w:rsidR="00FD64FC">
        <w:rPr>
          <w:rFonts w:ascii="Tahoma" w:hAnsi="Tahoma" w:cs="Tahoma"/>
          <w:color w:val="333333"/>
          <w:sz w:val="22"/>
          <w:szCs w:val="22"/>
        </w:rPr>
        <w:t>SOFTWARE</w:t>
      </w:r>
      <w:r w:rsidR="00FD64FC" w:rsidRPr="00056C71">
        <w:rPr>
          <w:rFonts w:ascii="Tahoma" w:hAnsi="Tahoma" w:cs="Tahoma"/>
          <w:color w:val="333333"/>
          <w:sz w:val="22"/>
          <w:szCs w:val="22"/>
        </w:rPr>
        <w:t xml:space="preserve"> </w:t>
      </w:r>
      <w:r w:rsidRPr="00056C71">
        <w:rPr>
          <w:rFonts w:ascii="Tahoma" w:hAnsi="Tahoma" w:cs="Tahoma"/>
          <w:color w:val="333333"/>
          <w:sz w:val="22"/>
          <w:szCs w:val="22"/>
        </w:rPr>
        <w:t>ausgelegt werden.</w:t>
      </w:r>
    </w:p>
    <w:p w14:paraId="0BE36CF0" w14:textId="18646ED6"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t xml:space="preserve">Der Benutzer kann innerhalb der BITZER </w:t>
      </w:r>
      <w:r w:rsidR="004F3C16">
        <w:rPr>
          <w:rFonts w:ascii="Tahoma" w:hAnsi="Tahoma" w:cs="Tahoma"/>
          <w:color w:val="333333"/>
          <w:sz w:val="22"/>
          <w:szCs w:val="22"/>
        </w:rPr>
        <w:t>SOFTWARE</w:t>
      </w:r>
      <w:r w:rsidR="004F3C16" w:rsidRPr="00056C71">
        <w:rPr>
          <w:rFonts w:ascii="Tahoma" w:hAnsi="Tahoma" w:cs="Tahoma"/>
          <w:color w:val="333333"/>
          <w:sz w:val="22"/>
          <w:szCs w:val="22"/>
        </w:rPr>
        <w:t xml:space="preserve"> </w:t>
      </w:r>
      <w:r w:rsidRPr="00056C71">
        <w:rPr>
          <w:rFonts w:ascii="Tahoma" w:hAnsi="Tahoma" w:cs="Tahoma"/>
          <w:color w:val="333333"/>
          <w:sz w:val="22"/>
          <w:szCs w:val="22"/>
        </w:rPr>
        <w:t>einen gewünschten Verdichter manuell auswählen oder</w:t>
      </w:r>
      <w:r w:rsidR="008E12C3">
        <w:rPr>
          <w:rFonts w:ascii="Tahoma" w:hAnsi="Tahoma" w:cs="Tahoma"/>
          <w:color w:val="333333"/>
          <w:sz w:val="22"/>
          <w:szCs w:val="22"/>
        </w:rPr>
        <w:t>,</w:t>
      </w:r>
      <w:r w:rsidRPr="00056C71">
        <w:rPr>
          <w:rFonts w:ascii="Tahoma" w:hAnsi="Tahoma" w:cs="Tahoma"/>
          <w:color w:val="333333"/>
          <w:sz w:val="22"/>
          <w:szCs w:val="22"/>
        </w:rPr>
        <w:t xml:space="preserve"> basierend auf Leistung, Betriebsbedingungen und spezifischen Anforderungen, einen Vorschlag für den passenden Verdichter erhalten. Sobald die Auswahl des Verdichters erfolgt ist, kann das Zubehör ausgewählt werden. Sofern es sich um einen HS oder OS</w:t>
      </w:r>
      <w:r w:rsidR="003C39B0">
        <w:rPr>
          <w:rFonts w:ascii="Tahoma" w:hAnsi="Tahoma" w:cs="Tahoma"/>
          <w:color w:val="333333"/>
          <w:sz w:val="22"/>
          <w:szCs w:val="22"/>
        </w:rPr>
        <w:t xml:space="preserve"> </w:t>
      </w:r>
      <w:r w:rsidRPr="00056C71">
        <w:rPr>
          <w:rFonts w:ascii="Tahoma" w:hAnsi="Tahoma" w:cs="Tahoma"/>
          <w:color w:val="333333"/>
          <w:sz w:val="22"/>
          <w:szCs w:val="22"/>
        </w:rPr>
        <w:t xml:space="preserve">Verdichter handelt, berechnet die BITZER </w:t>
      </w:r>
      <w:r w:rsidR="004F3C16">
        <w:rPr>
          <w:rFonts w:ascii="Tahoma" w:hAnsi="Tahoma" w:cs="Tahoma"/>
          <w:color w:val="333333"/>
          <w:sz w:val="22"/>
          <w:szCs w:val="22"/>
        </w:rPr>
        <w:t>SOFTWARE</w:t>
      </w:r>
      <w:r w:rsidR="004F3C16" w:rsidRPr="00056C71">
        <w:rPr>
          <w:rFonts w:ascii="Tahoma" w:hAnsi="Tahoma" w:cs="Tahoma"/>
          <w:color w:val="333333"/>
          <w:sz w:val="22"/>
          <w:szCs w:val="22"/>
        </w:rPr>
        <w:t xml:space="preserve"> </w:t>
      </w:r>
      <w:r w:rsidRPr="00056C71">
        <w:rPr>
          <w:rFonts w:ascii="Tahoma" w:hAnsi="Tahoma" w:cs="Tahoma"/>
          <w:color w:val="333333"/>
          <w:sz w:val="22"/>
          <w:szCs w:val="22"/>
        </w:rPr>
        <w:t xml:space="preserve">die erforderliche Kühlleistung und schlägt </w:t>
      </w:r>
      <w:r w:rsidR="003C39B0">
        <w:rPr>
          <w:rFonts w:ascii="Tahoma" w:hAnsi="Tahoma" w:cs="Tahoma"/>
          <w:color w:val="333333"/>
          <w:sz w:val="22"/>
          <w:szCs w:val="22"/>
        </w:rPr>
        <w:t>–</w:t>
      </w:r>
      <w:r w:rsidR="003C39B0" w:rsidRPr="00056C71">
        <w:rPr>
          <w:rFonts w:ascii="Tahoma" w:hAnsi="Tahoma" w:cs="Tahoma"/>
          <w:color w:val="333333"/>
          <w:sz w:val="22"/>
          <w:szCs w:val="22"/>
        </w:rPr>
        <w:t xml:space="preserve"> </w:t>
      </w:r>
      <w:r w:rsidRPr="00056C71">
        <w:rPr>
          <w:rFonts w:ascii="Tahoma" w:hAnsi="Tahoma" w:cs="Tahoma"/>
          <w:color w:val="333333"/>
          <w:sz w:val="22"/>
          <w:szCs w:val="22"/>
        </w:rPr>
        <w:t xml:space="preserve">sofern notwendig </w:t>
      </w:r>
      <w:r w:rsidR="003C39B0">
        <w:rPr>
          <w:rFonts w:ascii="Tahoma" w:hAnsi="Tahoma" w:cs="Tahoma"/>
          <w:color w:val="333333"/>
          <w:sz w:val="22"/>
          <w:szCs w:val="22"/>
        </w:rPr>
        <w:t>–</w:t>
      </w:r>
      <w:r w:rsidR="003C39B0" w:rsidRPr="00056C71">
        <w:rPr>
          <w:rFonts w:ascii="Tahoma" w:hAnsi="Tahoma" w:cs="Tahoma"/>
          <w:color w:val="333333"/>
          <w:sz w:val="22"/>
          <w:szCs w:val="22"/>
        </w:rPr>
        <w:t xml:space="preserve"> </w:t>
      </w:r>
      <w:r w:rsidRPr="00056C71">
        <w:rPr>
          <w:rFonts w:ascii="Tahoma" w:hAnsi="Tahoma" w:cs="Tahoma"/>
          <w:color w:val="333333"/>
          <w:sz w:val="22"/>
          <w:szCs w:val="22"/>
        </w:rPr>
        <w:t xml:space="preserve">einen passenden Ölkühler vor. Alternativ kann im Abschnitt „Zusatzkühlung“ die Option „Externe Ölkühlung“ manuell ausgewählt werden. Der Benutzer kann Anpassungen entsprechend </w:t>
      </w:r>
      <w:r w:rsidR="003C39B0" w:rsidRPr="00056C71">
        <w:rPr>
          <w:rFonts w:ascii="Tahoma" w:hAnsi="Tahoma" w:cs="Tahoma"/>
          <w:color w:val="333333"/>
          <w:sz w:val="22"/>
          <w:szCs w:val="22"/>
        </w:rPr>
        <w:t>seine</w:t>
      </w:r>
      <w:r w:rsidR="003C39B0">
        <w:rPr>
          <w:rFonts w:ascii="Tahoma" w:hAnsi="Tahoma" w:cs="Tahoma"/>
          <w:color w:val="333333"/>
          <w:sz w:val="22"/>
          <w:szCs w:val="22"/>
        </w:rPr>
        <w:t>n</w:t>
      </w:r>
      <w:r w:rsidR="003C39B0" w:rsidRPr="00056C71">
        <w:rPr>
          <w:rFonts w:ascii="Tahoma" w:hAnsi="Tahoma" w:cs="Tahoma"/>
          <w:color w:val="333333"/>
          <w:sz w:val="22"/>
          <w:szCs w:val="22"/>
        </w:rPr>
        <w:t xml:space="preserve"> </w:t>
      </w:r>
      <w:r w:rsidRPr="00056C71">
        <w:rPr>
          <w:rFonts w:ascii="Tahoma" w:hAnsi="Tahoma" w:cs="Tahoma"/>
          <w:color w:val="333333"/>
          <w:sz w:val="22"/>
          <w:szCs w:val="22"/>
        </w:rPr>
        <w:t xml:space="preserve">Anforderungen vornehmen und die Auswahl prüfen, während alle relevanten technischen Daten übersichtlich dargestellt werden. Dabei lassen sich auch die Temperaturen auf der Sekundärseite individuell anpassen. Auf diese Weise ist eine optimale Abstimmung der Komponenten aufeinander gewährleistet. Dieser automatisierte Ablauf erleichtert die Konfiguration und sorgt für eine effiziente und zuverlässige </w:t>
      </w:r>
      <w:r w:rsidR="00F65963">
        <w:rPr>
          <w:rFonts w:ascii="Tahoma" w:hAnsi="Tahoma" w:cs="Tahoma"/>
          <w:color w:val="333333"/>
          <w:sz w:val="22"/>
          <w:szCs w:val="22"/>
        </w:rPr>
        <w:t>Anlagenausführung</w:t>
      </w:r>
      <w:r w:rsidRPr="00056C71">
        <w:rPr>
          <w:rFonts w:ascii="Tahoma" w:hAnsi="Tahoma" w:cs="Tahoma"/>
          <w:color w:val="333333"/>
          <w:sz w:val="22"/>
          <w:szCs w:val="22"/>
        </w:rPr>
        <w:t>.</w:t>
      </w:r>
      <w:r>
        <w:rPr>
          <w:rFonts w:ascii="Tahoma" w:hAnsi="Tahoma" w:cs="Tahoma"/>
          <w:color w:val="333333"/>
          <w:sz w:val="22"/>
          <w:szCs w:val="22"/>
        </w:rPr>
        <w:t xml:space="preserve"> </w:t>
      </w:r>
      <w:r w:rsidRPr="00056C71">
        <w:rPr>
          <w:rFonts w:ascii="Tahoma" w:hAnsi="Tahoma" w:cs="Tahoma"/>
          <w:b/>
          <w:bCs/>
          <w:color w:val="00B050"/>
          <w:sz w:val="22"/>
          <w:szCs w:val="22"/>
        </w:rPr>
        <w:t>(Abb. 4)</w:t>
      </w:r>
    </w:p>
    <w:p w14:paraId="1F36BFBF" w14:textId="1F86975E"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b/>
          <w:bCs/>
          <w:color w:val="333333"/>
          <w:sz w:val="22"/>
          <w:szCs w:val="22"/>
        </w:rPr>
        <w:t>Zusammenfassung</w:t>
      </w:r>
    </w:p>
    <w:p w14:paraId="1266B5DE" w14:textId="7E0BC07C"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t>Die neue OWD</w:t>
      </w:r>
      <w:r w:rsidR="003C39B0">
        <w:rPr>
          <w:rFonts w:ascii="Tahoma" w:hAnsi="Tahoma" w:cs="Tahoma"/>
          <w:color w:val="333333"/>
          <w:sz w:val="22"/>
          <w:szCs w:val="22"/>
        </w:rPr>
        <w:t xml:space="preserve"> </w:t>
      </w:r>
      <w:r w:rsidRPr="00056C71">
        <w:rPr>
          <w:rFonts w:ascii="Tahoma" w:hAnsi="Tahoma" w:cs="Tahoma"/>
          <w:color w:val="333333"/>
          <w:sz w:val="22"/>
          <w:szCs w:val="22"/>
        </w:rPr>
        <w:t xml:space="preserve">Serie bietet eine beeindruckende Kombination </w:t>
      </w:r>
      <w:r w:rsidR="003C39B0">
        <w:rPr>
          <w:rFonts w:ascii="Tahoma" w:hAnsi="Tahoma" w:cs="Tahoma"/>
          <w:color w:val="333333"/>
          <w:sz w:val="22"/>
          <w:szCs w:val="22"/>
        </w:rPr>
        <w:t>von</w:t>
      </w:r>
      <w:r w:rsidR="003C39B0" w:rsidRPr="00056C71">
        <w:rPr>
          <w:rFonts w:ascii="Tahoma" w:hAnsi="Tahoma" w:cs="Tahoma"/>
          <w:color w:val="333333"/>
          <w:sz w:val="22"/>
          <w:szCs w:val="22"/>
        </w:rPr>
        <w:t xml:space="preserve"> </w:t>
      </w:r>
      <w:r w:rsidRPr="00056C71">
        <w:rPr>
          <w:rFonts w:ascii="Tahoma" w:hAnsi="Tahoma" w:cs="Tahoma"/>
          <w:color w:val="333333"/>
          <w:sz w:val="22"/>
          <w:szCs w:val="22"/>
        </w:rPr>
        <w:t>hohem Wärmeübergang, geringem Druckabfall, Effizienz und Vielseitigkeit. Mit innovativen Technologien wie den Disk- und Doughnut-</w:t>
      </w:r>
      <w:proofErr w:type="spellStart"/>
      <w:r w:rsidRPr="00056C71">
        <w:rPr>
          <w:rFonts w:ascii="Tahoma" w:hAnsi="Tahoma" w:cs="Tahoma"/>
          <w:color w:val="333333"/>
          <w:sz w:val="22"/>
          <w:szCs w:val="22"/>
        </w:rPr>
        <w:t>Baffles</w:t>
      </w:r>
      <w:proofErr w:type="spellEnd"/>
      <w:r w:rsidRPr="00056C71">
        <w:rPr>
          <w:rFonts w:ascii="Tahoma" w:hAnsi="Tahoma" w:cs="Tahoma"/>
          <w:color w:val="333333"/>
          <w:sz w:val="22"/>
          <w:szCs w:val="22"/>
        </w:rPr>
        <w:t>, einem stark erweiterten Leistungsbereich und einem vergrößerten Einsatzspektrum ist sie die ideale Wahl für Kühlanwendungen und Hochtemperatur</w:t>
      </w:r>
      <w:r w:rsidR="003F6A6C">
        <w:rPr>
          <w:rFonts w:ascii="Tahoma" w:hAnsi="Tahoma" w:cs="Tahoma"/>
          <w:color w:val="333333"/>
          <w:sz w:val="22"/>
          <w:szCs w:val="22"/>
        </w:rPr>
        <w:t>w</w:t>
      </w:r>
      <w:r w:rsidRPr="00056C71">
        <w:rPr>
          <w:rFonts w:ascii="Tahoma" w:hAnsi="Tahoma" w:cs="Tahoma"/>
          <w:color w:val="333333"/>
          <w:sz w:val="22"/>
          <w:szCs w:val="22"/>
        </w:rPr>
        <w:t>ärmepumpen mit Niedrig-GWP-Kältemitteln, die einen leistungsstarken und zuverlässigen Ölkühler benötigen.</w:t>
      </w:r>
    </w:p>
    <w:p w14:paraId="095BB0F6" w14:textId="143E4FB9" w:rsidR="00056C71" w:rsidRPr="00056C71" w:rsidRDefault="00056C71" w:rsidP="00056C71">
      <w:pPr>
        <w:spacing w:before="240" w:line="360" w:lineRule="auto"/>
        <w:rPr>
          <w:rFonts w:ascii="Tahoma" w:hAnsi="Tahoma" w:cs="Tahoma"/>
          <w:color w:val="333333"/>
          <w:sz w:val="22"/>
          <w:szCs w:val="22"/>
        </w:rPr>
      </w:pPr>
      <w:r w:rsidRPr="00056C71">
        <w:rPr>
          <w:rFonts w:ascii="Tahoma" w:hAnsi="Tahoma" w:cs="Tahoma"/>
          <w:color w:val="333333"/>
          <w:sz w:val="22"/>
          <w:szCs w:val="22"/>
        </w:rPr>
        <w:lastRenderedPageBreak/>
        <w:t>Dank ihrer Robustheit und Anpassungsfähigkeit erfüllt sie auch die anspruchsvollsten Anforderungen und setzt neue Maßstäbe in der Öl</w:t>
      </w:r>
      <w:r w:rsidR="003C39B0">
        <w:rPr>
          <w:rFonts w:ascii="Tahoma" w:hAnsi="Tahoma" w:cs="Tahoma"/>
          <w:color w:val="333333"/>
          <w:sz w:val="22"/>
          <w:szCs w:val="22"/>
        </w:rPr>
        <w:t>k</w:t>
      </w:r>
      <w:r w:rsidRPr="00056C71">
        <w:rPr>
          <w:rFonts w:ascii="Tahoma" w:hAnsi="Tahoma" w:cs="Tahoma"/>
          <w:color w:val="333333"/>
          <w:sz w:val="22"/>
          <w:szCs w:val="22"/>
        </w:rPr>
        <w:t>ühl</w:t>
      </w:r>
      <w:r w:rsidR="005710DA">
        <w:rPr>
          <w:rFonts w:ascii="Tahoma" w:hAnsi="Tahoma" w:cs="Tahoma"/>
          <w:color w:val="333333"/>
          <w:sz w:val="22"/>
          <w:szCs w:val="22"/>
        </w:rPr>
        <w:t>erleistung</w:t>
      </w:r>
      <w:r w:rsidRPr="00056C71">
        <w:rPr>
          <w:rFonts w:ascii="Tahoma" w:hAnsi="Tahoma" w:cs="Tahoma"/>
          <w:color w:val="333333"/>
          <w:sz w:val="22"/>
          <w:szCs w:val="22"/>
        </w:rPr>
        <w:t>.</w:t>
      </w:r>
    </w:p>
    <w:p w14:paraId="0D4F53D9" w14:textId="77777777" w:rsidR="00056C71" w:rsidRPr="00056C71" w:rsidRDefault="00056C71" w:rsidP="00056C71">
      <w:pPr>
        <w:spacing w:before="240" w:line="360" w:lineRule="auto"/>
        <w:rPr>
          <w:rFonts w:ascii="Tahoma" w:hAnsi="Tahoma" w:cs="Tahoma"/>
          <w:color w:val="333333"/>
          <w:sz w:val="22"/>
          <w:szCs w:val="22"/>
        </w:rPr>
      </w:pPr>
    </w:p>
    <w:p w14:paraId="1B512BC7" w14:textId="77777777" w:rsidR="009F5E22" w:rsidRPr="00D9247D" w:rsidRDefault="009F5E22" w:rsidP="00C16E68">
      <w:pPr>
        <w:spacing w:before="240" w:line="360" w:lineRule="auto"/>
        <w:ind w:right="112"/>
        <w:jc w:val="center"/>
        <w:rPr>
          <w:rFonts w:ascii="Arial" w:hAnsi="Arial"/>
          <w:sz w:val="22"/>
        </w:rPr>
      </w:pPr>
      <w:r w:rsidRPr="00D9247D">
        <w:rPr>
          <w:rFonts w:ascii="Arial" w:hAnsi="Arial"/>
          <w:sz w:val="22"/>
        </w:rPr>
        <w:t>■</w:t>
      </w:r>
    </w:p>
    <w:p w14:paraId="2331AA56" w14:textId="77777777" w:rsidR="00DD4652" w:rsidRDefault="00DD4652" w:rsidP="00DD4652">
      <w:pPr>
        <w:spacing w:line="360" w:lineRule="auto"/>
        <w:ind w:right="112"/>
        <w:jc w:val="both"/>
        <w:rPr>
          <w:rFonts w:ascii="Tahoma" w:hAnsi="Tahoma"/>
          <w:sz w:val="20"/>
        </w:rPr>
      </w:pPr>
      <w:r w:rsidRPr="005876BA">
        <w:rPr>
          <w:rFonts w:ascii="Tahoma" w:hAnsi="Tahoma"/>
          <w:sz w:val="20"/>
        </w:rPr>
        <w:t xml:space="preserve">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immer vor dem Hintergrund größtmöglicher Energieeffizienz und Qualität. </w:t>
      </w:r>
      <w:r w:rsidRPr="00ED3301">
        <w:rPr>
          <w:rFonts w:ascii="Tahoma" w:hAnsi="Tahoma"/>
          <w:sz w:val="20"/>
        </w:rPr>
        <w:t>Mit Vertriebsgesellschaften und Produktionsstätten ist die BITZER Firmengruppe weltweit an 75 Standorten in 41 Ländern vertreten. Inklusive Handels- und Dienstleistungspartnern erstreckt sich der Fertigungs-, Entwicklungs- und Vertriebsverbund von BITZER über fast alle Länder der Welt. Im Jahr 2024 erwirtschafteten 4500 Mitarbeitende einen Umsatz von 1,12 Milliarden Euro, der Aufwand für Forschung und Entwicklung lag bei 67 Millionen Euro.</w:t>
      </w:r>
    </w:p>
    <w:p w14:paraId="41D97CF1" w14:textId="77777777" w:rsidR="00D9247D" w:rsidRDefault="00D9247D" w:rsidP="00D9247D">
      <w:pPr>
        <w:spacing w:before="240" w:line="360" w:lineRule="auto"/>
        <w:ind w:right="112"/>
        <w:jc w:val="both"/>
        <w:rPr>
          <w:rFonts w:ascii="Tahoma" w:hAnsi="Tahoma"/>
          <w:sz w:val="20"/>
        </w:rPr>
      </w:pPr>
      <w:hyperlink r:id="rId10" w:history="1">
        <w:r w:rsidRPr="007A32D0">
          <w:rPr>
            <w:rStyle w:val="Hyperlink"/>
            <w:rFonts w:ascii="Tahoma" w:hAnsi="Tahoma"/>
            <w:sz w:val="20"/>
          </w:rPr>
          <w:t>www.bitzer.de</w:t>
        </w:r>
      </w:hyperlink>
    </w:p>
    <w:p w14:paraId="4F9AF168" w14:textId="77777777" w:rsidR="00D9247D" w:rsidRDefault="00D9247D" w:rsidP="00D9247D">
      <w:pPr>
        <w:spacing w:before="240" w:line="360" w:lineRule="auto"/>
        <w:ind w:right="112"/>
        <w:jc w:val="both"/>
        <w:rPr>
          <w:rFonts w:ascii="Tahoma" w:hAnsi="Tahoma"/>
          <w:b/>
          <w:sz w:val="20"/>
        </w:rPr>
      </w:pPr>
    </w:p>
    <w:p w14:paraId="062C040B" w14:textId="77777777" w:rsidR="009F5E22" w:rsidRPr="00681E94" w:rsidRDefault="00681E94" w:rsidP="00D9247D">
      <w:pPr>
        <w:spacing w:before="240" w:line="360" w:lineRule="auto"/>
        <w:ind w:right="112"/>
        <w:jc w:val="both"/>
        <w:rPr>
          <w:rFonts w:ascii="Tahoma" w:hAnsi="Tahoma"/>
          <w:sz w:val="20"/>
        </w:rPr>
      </w:pPr>
      <w:r w:rsidRPr="00681E94">
        <w:rPr>
          <w:rFonts w:ascii="Tahoma" w:hAnsi="Tahoma"/>
          <w:b/>
          <w:sz w:val="20"/>
        </w:rPr>
        <w:t>Bildübersicht</w:t>
      </w:r>
    </w:p>
    <w:p w14:paraId="61A3C4A1" w14:textId="35853689" w:rsidR="00681E94" w:rsidRDefault="00681E94" w:rsidP="00120E4A">
      <w:pPr>
        <w:spacing w:before="240" w:line="360" w:lineRule="auto"/>
        <w:ind w:right="112"/>
        <w:jc w:val="both"/>
        <w:rPr>
          <w:rFonts w:ascii="Tahoma" w:hAnsi="Tahoma"/>
          <w:sz w:val="20"/>
        </w:rPr>
      </w:pPr>
      <w:r w:rsidRPr="00681E94">
        <w:rPr>
          <w:rFonts w:ascii="Tahoma" w:hAnsi="Tahoma"/>
          <w:sz w:val="20"/>
        </w:rPr>
        <w:t xml:space="preserve">Die Bildmotive dürfen nur zu redaktionellen Zwecken genutzt werden. Die Verwendung ist honorarfrei bei Quellenangabe „Foto: BITZER“ und Übersendung eines kostenlosen Belegexemplars. Grafische </w:t>
      </w:r>
      <w:r w:rsidR="005710DA" w:rsidRPr="00681E94">
        <w:rPr>
          <w:rFonts w:ascii="Tahoma" w:hAnsi="Tahoma"/>
          <w:sz w:val="20"/>
        </w:rPr>
        <w:t>Veränderungen</w:t>
      </w:r>
      <w:r w:rsidR="005710DA">
        <w:rPr>
          <w:rFonts w:ascii="Tahoma" w:hAnsi="Tahoma"/>
          <w:sz w:val="20"/>
        </w:rPr>
        <w:t> </w:t>
      </w:r>
      <w:r w:rsidRPr="00681E94">
        <w:rPr>
          <w:rFonts w:ascii="Tahoma" w:hAnsi="Tahoma"/>
          <w:sz w:val="20"/>
        </w:rPr>
        <w:t xml:space="preserve">– außer zum Freistellen des Hauptmotivs – sind nicht gestattet. </w:t>
      </w:r>
    </w:p>
    <w:p w14:paraId="4B75894D" w14:textId="77777777" w:rsidR="003D1FF6" w:rsidRDefault="003D1FF6" w:rsidP="00120E4A">
      <w:pPr>
        <w:spacing w:before="240" w:line="360" w:lineRule="auto"/>
        <w:ind w:right="112"/>
        <w:jc w:val="both"/>
        <w:rPr>
          <w:rFonts w:ascii="Tahoma" w:hAnsi="Tahoma"/>
          <w:sz w:val="20"/>
        </w:rPr>
      </w:pPr>
    </w:p>
    <w:p w14:paraId="510D23DE" w14:textId="77777777" w:rsidR="003D1FF6" w:rsidRDefault="003D1FF6" w:rsidP="00120E4A">
      <w:pPr>
        <w:spacing w:before="240" w:line="360" w:lineRule="auto"/>
        <w:ind w:right="112"/>
        <w:jc w:val="both"/>
        <w:rPr>
          <w:rFonts w:ascii="Tahoma" w:hAnsi="Tahoma"/>
          <w:sz w:val="20"/>
        </w:rPr>
      </w:pPr>
    </w:p>
    <w:p w14:paraId="480E5BFA" w14:textId="77777777" w:rsidR="003D1FF6" w:rsidRDefault="003D1FF6" w:rsidP="00120E4A">
      <w:pPr>
        <w:spacing w:before="240" w:line="360" w:lineRule="auto"/>
        <w:ind w:right="112"/>
        <w:jc w:val="both"/>
        <w:rPr>
          <w:rFonts w:ascii="Tahoma" w:hAnsi="Tahoma"/>
          <w:sz w:val="20"/>
        </w:rPr>
      </w:pPr>
    </w:p>
    <w:p w14:paraId="6D787EC3" w14:textId="65505231" w:rsidR="00F41B20" w:rsidRPr="00121F9C" w:rsidRDefault="00F41B20" w:rsidP="00F41B20"/>
    <w:p w14:paraId="42A3FA79" w14:textId="77777777" w:rsidR="00F41B20" w:rsidRDefault="00F41B20" w:rsidP="00F41B20">
      <w:pPr>
        <w:keepNext/>
      </w:pPr>
      <w:r w:rsidRPr="00121F9C">
        <w:rPr>
          <w:noProof/>
        </w:rPr>
        <w:lastRenderedPageBreak/>
        <w:drawing>
          <wp:inline distT="0" distB="0" distL="0" distR="0" wp14:anchorId="24602471" wp14:editId="3402FB77">
            <wp:extent cx="5700269" cy="3632972"/>
            <wp:effectExtent l="0" t="0" r="0" b="5715"/>
            <wp:docPr id="519991788"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991788" name="Grafik 16"/>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5700269" cy="3632972"/>
                    </a:xfrm>
                    <a:prstGeom prst="rect">
                      <a:avLst/>
                    </a:prstGeom>
                    <a:noFill/>
                    <a:ln>
                      <a:noFill/>
                    </a:ln>
                  </pic:spPr>
                </pic:pic>
              </a:graphicData>
            </a:graphic>
          </wp:inline>
        </w:drawing>
      </w:r>
    </w:p>
    <w:p w14:paraId="43F566C8" w14:textId="55A5808C" w:rsidR="00120E4A" w:rsidRPr="00F41B20" w:rsidRDefault="00F41B20" w:rsidP="00120E4A">
      <w:pPr>
        <w:spacing w:before="240" w:line="360" w:lineRule="auto"/>
        <w:ind w:right="112"/>
        <w:jc w:val="both"/>
        <w:rPr>
          <w:rFonts w:ascii="Tahoma" w:hAnsi="Tahoma" w:cs="Tahoma"/>
          <w:color w:val="A6A6A6" w:themeColor="background1" w:themeShade="A6"/>
          <w:sz w:val="22"/>
          <w:szCs w:val="22"/>
        </w:rPr>
      </w:pPr>
      <w:r w:rsidRPr="00F41B20">
        <w:rPr>
          <w:rFonts w:ascii="Tahoma" w:hAnsi="Tahoma" w:cs="Tahoma"/>
          <w:sz w:val="22"/>
          <w:szCs w:val="22"/>
        </w:rPr>
        <w:t>Abb. 1</w:t>
      </w:r>
      <w:r w:rsidR="00120E4A" w:rsidRPr="00F41B20">
        <w:rPr>
          <w:rFonts w:ascii="Tahoma" w:hAnsi="Tahoma" w:cs="Tahoma"/>
          <w:sz w:val="22"/>
          <w:szCs w:val="22"/>
        </w:rPr>
        <w:t>:</w:t>
      </w:r>
      <w:r w:rsidR="001D6553" w:rsidRPr="00F41B20">
        <w:rPr>
          <w:rFonts w:ascii="Tahoma" w:hAnsi="Tahoma" w:cs="Tahoma"/>
          <w:sz w:val="22"/>
          <w:szCs w:val="22"/>
        </w:rPr>
        <w:t xml:space="preserve"> </w:t>
      </w:r>
      <w:r w:rsidRPr="00F41B20">
        <w:rPr>
          <w:rFonts w:ascii="Tahoma" w:hAnsi="Tahoma" w:cs="Tahoma"/>
          <w:sz w:val="22"/>
          <w:szCs w:val="22"/>
        </w:rPr>
        <w:t>Schnittbild OWD Ölkühler</w:t>
      </w:r>
      <w:r w:rsidR="00A913C9">
        <w:rPr>
          <w:rFonts w:ascii="Tahoma" w:hAnsi="Tahoma" w:cs="Tahoma"/>
          <w:sz w:val="22"/>
          <w:szCs w:val="22"/>
        </w:rPr>
        <w:t>s</w:t>
      </w:r>
      <w:r w:rsidRPr="00F41B20">
        <w:rPr>
          <w:rFonts w:ascii="Tahoma" w:hAnsi="Tahoma" w:cs="Tahoma"/>
          <w:sz w:val="22"/>
          <w:szCs w:val="22"/>
        </w:rPr>
        <w:t>erie</w:t>
      </w:r>
    </w:p>
    <w:p w14:paraId="73199BE8" w14:textId="77777777" w:rsidR="00F41B20" w:rsidRDefault="00F41B20" w:rsidP="00120E4A">
      <w:pPr>
        <w:spacing w:before="240" w:line="360" w:lineRule="auto"/>
        <w:ind w:right="112"/>
        <w:jc w:val="both"/>
        <w:rPr>
          <w:rFonts w:ascii="Tahoma" w:hAnsi="Tahoma"/>
          <w:color w:val="A6A6A6" w:themeColor="background1" w:themeShade="A6"/>
          <w:sz w:val="22"/>
          <w:szCs w:val="22"/>
        </w:rPr>
      </w:pPr>
    </w:p>
    <w:p w14:paraId="7C32A3C7" w14:textId="4AE76668" w:rsidR="00F41B20" w:rsidRDefault="00F41B20" w:rsidP="00120E4A">
      <w:pPr>
        <w:spacing w:before="240" w:line="360" w:lineRule="auto"/>
        <w:ind w:right="112"/>
        <w:jc w:val="both"/>
        <w:rPr>
          <w:rFonts w:ascii="Tahoma" w:hAnsi="Tahoma"/>
          <w:color w:val="A6A6A6" w:themeColor="background1" w:themeShade="A6"/>
          <w:sz w:val="22"/>
          <w:szCs w:val="22"/>
        </w:rPr>
      </w:pPr>
      <w:r w:rsidRPr="00121F9C">
        <w:rPr>
          <w:noProof/>
        </w:rPr>
        <w:drawing>
          <wp:inline distT="0" distB="0" distL="0" distR="0" wp14:anchorId="2A507814" wp14:editId="0E1AC4F7">
            <wp:extent cx="5191125" cy="3219966"/>
            <wp:effectExtent l="0" t="0" r="0" b="0"/>
            <wp:docPr id="359639383"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639383" name="Grafik 15"/>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5191125" cy="3219966"/>
                    </a:xfrm>
                    <a:prstGeom prst="rect">
                      <a:avLst/>
                    </a:prstGeom>
                    <a:noFill/>
                    <a:ln>
                      <a:noFill/>
                    </a:ln>
                  </pic:spPr>
                </pic:pic>
              </a:graphicData>
            </a:graphic>
          </wp:inline>
        </w:drawing>
      </w:r>
    </w:p>
    <w:p w14:paraId="67ECF7E3" w14:textId="66A6847B" w:rsidR="00F41B20" w:rsidRDefault="00F41B20" w:rsidP="00120E4A">
      <w:pPr>
        <w:spacing w:before="240" w:line="360" w:lineRule="auto"/>
        <w:ind w:right="112"/>
        <w:jc w:val="both"/>
        <w:rPr>
          <w:rFonts w:ascii="Tahoma" w:hAnsi="Tahoma" w:cs="Tahoma"/>
          <w:sz w:val="22"/>
          <w:szCs w:val="22"/>
        </w:rPr>
      </w:pPr>
      <w:r w:rsidRPr="00F41B20">
        <w:rPr>
          <w:rFonts w:ascii="Tahoma" w:hAnsi="Tahoma" w:cs="Tahoma"/>
          <w:sz w:val="22"/>
          <w:szCs w:val="22"/>
        </w:rPr>
        <w:t>Abb.</w:t>
      </w:r>
      <w:r w:rsidR="00441605">
        <w:rPr>
          <w:rFonts w:ascii="Tahoma" w:hAnsi="Tahoma" w:cs="Tahoma"/>
          <w:sz w:val="22"/>
          <w:szCs w:val="22"/>
        </w:rPr>
        <w:t xml:space="preserve"> </w:t>
      </w:r>
      <w:r w:rsidRPr="00F41B20">
        <w:rPr>
          <w:rFonts w:ascii="Tahoma" w:hAnsi="Tahoma" w:cs="Tahoma"/>
          <w:sz w:val="22"/>
          <w:szCs w:val="22"/>
        </w:rPr>
        <w:t xml:space="preserve">2: Nennbedingungen: </w:t>
      </w:r>
      <w:proofErr w:type="spellStart"/>
      <w:r w:rsidRPr="00F41B20">
        <w:rPr>
          <w:rFonts w:ascii="Tahoma" w:hAnsi="Tahoma" w:cs="Tahoma"/>
          <w:sz w:val="22"/>
          <w:szCs w:val="22"/>
        </w:rPr>
        <w:t>T</w:t>
      </w:r>
      <w:r w:rsidRPr="00F41B20">
        <w:rPr>
          <w:rFonts w:ascii="Tahoma" w:hAnsi="Tahoma" w:cs="Tahoma"/>
          <w:sz w:val="22"/>
          <w:szCs w:val="22"/>
          <w:vertAlign w:val="subscript"/>
        </w:rPr>
        <w:t>oil</w:t>
      </w:r>
      <w:proofErr w:type="spellEnd"/>
      <w:r w:rsidRPr="00F41B20">
        <w:rPr>
          <w:rFonts w:ascii="Tahoma" w:hAnsi="Tahoma" w:cs="Tahoma"/>
          <w:sz w:val="22"/>
          <w:szCs w:val="22"/>
        </w:rPr>
        <w:t>: 80°C à 50°C; T</w:t>
      </w:r>
      <w:r w:rsidRPr="00F41B20">
        <w:rPr>
          <w:rFonts w:ascii="Tahoma" w:hAnsi="Tahoma" w:cs="Tahoma"/>
          <w:sz w:val="22"/>
          <w:szCs w:val="22"/>
          <w:vertAlign w:val="subscript"/>
        </w:rPr>
        <w:t>H</w:t>
      </w:r>
      <w:r w:rsidRPr="005710DA">
        <w:rPr>
          <w:rFonts w:ascii="Tahoma" w:hAnsi="Tahoma" w:cs="Tahoma"/>
          <w:sz w:val="22"/>
          <w:szCs w:val="22"/>
          <w:vertAlign w:val="subscript"/>
        </w:rPr>
        <w:t>2</w:t>
      </w:r>
      <w:r w:rsidRPr="00F41B20">
        <w:rPr>
          <w:rFonts w:ascii="Tahoma" w:hAnsi="Tahoma" w:cs="Tahoma"/>
          <w:sz w:val="22"/>
          <w:szCs w:val="22"/>
          <w:vertAlign w:val="subscript"/>
        </w:rPr>
        <w:t>O</w:t>
      </w:r>
      <w:r w:rsidRPr="00F41B20">
        <w:rPr>
          <w:rFonts w:ascii="Tahoma" w:hAnsi="Tahoma" w:cs="Tahoma"/>
          <w:sz w:val="22"/>
          <w:szCs w:val="22"/>
        </w:rPr>
        <w:t xml:space="preserve">: 30°C à 35°C; </w:t>
      </w:r>
      <w:r w:rsidR="00A913C9">
        <w:rPr>
          <w:rFonts w:ascii="Tahoma" w:hAnsi="Tahoma" w:cs="Tahoma"/>
          <w:sz w:val="22"/>
          <w:szCs w:val="22"/>
        </w:rPr>
        <w:t>h</w:t>
      </w:r>
      <w:r w:rsidRPr="00F41B20">
        <w:rPr>
          <w:rFonts w:ascii="Tahoma" w:hAnsi="Tahoma" w:cs="Tahoma"/>
          <w:sz w:val="22"/>
          <w:szCs w:val="22"/>
        </w:rPr>
        <w:t>ochviskoses Öl (BSE170)</w:t>
      </w:r>
    </w:p>
    <w:p w14:paraId="0D4EE437" w14:textId="77777777" w:rsidR="00F41B20" w:rsidRDefault="00F41B20" w:rsidP="00120E4A">
      <w:pPr>
        <w:spacing w:before="240" w:line="360" w:lineRule="auto"/>
        <w:ind w:right="112"/>
        <w:jc w:val="both"/>
        <w:rPr>
          <w:rFonts w:ascii="Tahoma" w:hAnsi="Tahoma" w:cs="Tahoma"/>
          <w:sz w:val="22"/>
          <w:szCs w:val="22"/>
        </w:rPr>
      </w:pPr>
    </w:p>
    <w:p w14:paraId="4F4915A2" w14:textId="77777777" w:rsidR="00F41B20" w:rsidRDefault="00F41B20" w:rsidP="00120E4A">
      <w:pPr>
        <w:spacing w:before="240" w:line="360" w:lineRule="auto"/>
        <w:ind w:right="112"/>
        <w:jc w:val="both"/>
        <w:rPr>
          <w:rFonts w:ascii="Tahoma" w:hAnsi="Tahoma" w:cs="Tahoma"/>
          <w:sz w:val="22"/>
          <w:szCs w:val="22"/>
        </w:rPr>
      </w:pPr>
    </w:p>
    <w:p w14:paraId="59663F0F" w14:textId="77777777" w:rsidR="00F41B20" w:rsidRDefault="00F41B20" w:rsidP="00120E4A">
      <w:pPr>
        <w:spacing w:before="240" w:line="360" w:lineRule="auto"/>
        <w:ind w:right="112"/>
        <w:jc w:val="both"/>
        <w:rPr>
          <w:rFonts w:ascii="Tahoma" w:hAnsi="Tahoma" w:cs="Tahoma"/>
          <w:sz w:val="22"/>
          <w:szCs w:val="22"/>
        </w:rPr>
      </w:pPr>
    </w:p>
    <w:p w14:paraId="5E30DC3D" w14:textId="765BE882" w:rsidR="00F41B20" w:rsidRDefault="00F41B20" w:rsidP="00120E4A">
      <w:pPr>
        <w:spacing w:before="240" w:line="360" w:lineRule="auto"/>
        <w:ind w:right="112"/>
        <w:jc w:val="both"/>
        <w:rPr>
          <w:rFonts w:ascii="Tahoma" w:hAnsi="Tahoma" w:cs="Tahoma"/>
          <w:sz w:val="22"/>
          <w:szCs w:val="22"/>
        </w:rPr>
      </w:pPr>
      <w:r w:rsidRPr="00121F9C">
        <w:rPr>
          <w:noProof/>
        </w:rPr>
        <w:drawing>
          <wp:inline distT="0" distB="0" distL="0" distR="0" wp14:anchorId="3EF3B305" wp14:editId="1AF397FF">
            <wp:extent cx="5760720" cy="1392960"/>
            <wp:effectExtent l="0" t="0" r="0" b="0"/>
            <wp:docPr id="150373802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738024" name="Grafik 14"/>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5760720" cy="1392960"/>
                    </a:xfrm>
                    <a:prstGeom prst="rect">
                      <a:avLst/>
                    </a:prstGeom>
                    <a:noFill/>
                    <a:ln>
                      <a:noFill/>
                    </a:ln>
                  </pic:spPr>
                </pic:pic>
              </a:graphicData>
            </a:graphic>
          </wp:inline>
        </w:drawing>
      </w:r>
    </w:p>
    <w:p w14:paraId="6E38FB35" w14:textId="77777777" w:rsidR="00F41B20" w:rsidRDefault="00F41B20" w:rsidP="00F41B20">
      <w:pPr>
        <w:spacing w:before="240" w:line="360" w:lineRule="auto"/>
        <w:ind w:right="112"/>
        <w:jc w:val="both"/>
        <w:rPr>
          <w:rFonts w:ascii="Tahoma" w:hAnsi="Tahoma" w:cs="Tahoma"/>
          <w:sz w:val="22"/>
          <w:szCs w:val="22"/>
        </w:rPr>
      </w:pPr>
      <w:r w:rsidRPr="00F41B20">
        <w:rPr>
          <w:rFonts w:ascii="Tahoma" w:hAnsi="Tahoma" w:cs="Tahoma"/>
          <w:sz w:val="22"/>
          <w:szCs w:val="22"/>
        </w:rPr>
        <w:t>Abb. 3: Strömungssimulation (CFD)</w:t>
      </w:r>
    </w:p>
    <w:p w14:paraId="67450CE8" w14:textId="77777777" w:rsidR="00E44FEE" w:rsidRPr="00F41B20" w:rsidRDefault="00E44FEE" w:rsidP="00F41B20">
      <w:pPr>
        <w:spacing w:before="240" w:line="360" w:lineRule="auto"/>
        <w:ind w:right="112"/>
        <w:jc w:val="both"/>
        <w:rPr>
          <w:rFonts w:ascii="Tahoma" w:hAnsi="Tahoma" w:cs="Tahoma"/>
          <w:sz w:val="22"/>
          <w:szCs w:val="22"/>
        </w:rPr>
      </w:pPr>
    </w:p>
    <w:p w14:paraId="7BD56D54" w14:textId="6CECA9F0" w:rsidR="00F41B20" w:rsidRDefault="00F41B20" w:rsidP="00120E4A">
      <w:pPr>
        <w:spacing w:before="240" w:line="360" w:lineRule="auto"/>
        <w:ind w:right="112"/>
        <w:jc w:val="both"/>
        <w:rPr>
          <w:rFonts w:ascii="Tahoma" w:hAnsi="Tahoma" w:cs="Tahoma"/>
          <w:sz w:val="22"/>
          <w:szCs w:val="22"/>
        </w:rPr>
      </w:pPr>
      <w:r w:rsidRPr="00121F9C">
        <w:rPr>
          <w:noProof/>
        </w:rPr>
        <w:drawing>
          <wp:inline distT="0" distB="0" distL="0" distR="0" wp14:anchorId="4E404BFB" wp14:editId="7175E5DC">
            <wp:extent cx="3990498" cy="4569431"/>
            <wp:effectExtent l="0" t="0" r="0" b="3175"/>
            <wp:docPr id="942083336"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083336" name="Grafik 13"/>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3990498" cy="4569431"/>
                    </a:xfrm>
                    <a:prstGeom prst="rect">
                      <a:avLst/>
                    </a:prstGeom>
                    <a:noFill/>
                    <a:ln>
                      <a:noFill/>
                    </a:ln>
                  </pic:spPr>
                </pic:pic>
              </a:graphicData>
            </a:graphic>
          </wp:inline>
        </w:drawing>
      </w:r>
    </w:p>
    <w:p w14:paraId="5347B112" w14:textId="6E6E99C0" w:rsidR="00F41B20" w:rsidRPr="00F41B20" w:rsidRDefault="00F41B20" w:rsidP="00120E4A">
      <w:pPr>
        <w:spacing w:before="240" w:line="360" w:lineRule="auto"/>
        <w:ind w:right="112"/>
        <w:jc w:val="both"/>
        <w:rPr>
          <w:rFonts w:ascii="Tahoma" w:hAnsi="Tahoma" w:cs="Tahoma"/>
          <w:sz w:val="22"/>
          <w:szCs w:val="22"/>
        </w:rPr>
      </w:pPr>
      <w:r>
        <w:rPr>
          <w:rFonts w:ascii="Tahoma" w:hAnsi="Tahoma" w:cs="Tahoma"/>
          <w:sz w:val="22"/>
          <w:szCs w:val="22"/>
        </w:rPr>
        <w:t xml:space="preserve">Abb. 4: </w:t>
      </w:r>
      <w:r w:rsidRPr="008250FA">
        <w:rPr>
          <w:rFonts w:ascii="Tahoma" w:hAnsi="Tahoma" w:cs="Tahoma"/>
          <w:sz w:val="22"/>
          <w:szCs w:val="22"/>
        </w:rPr>
        <w:t xml:space="preserve">Auslegung BITZER </w:t>
      </w:r>
      <w:r w:rsidR="00FD64FC" w:rsidRPr="008250FA">
        <w:rPr>
          <w:rFonts w:ascii="Tahoma" w:hAnsi="Tahoma" w:cs="Tahoma"/>
          <w:sz w:val="22"/>
          <w:szCs w:val="22"/>
        </w:rPr>
        <w:t>SOFTWARE</w:t>
      </w:r>
    </w:p>
    <w:sectPr w:rsidR="00F41B20" w:rsidRPr="00F41B20" w:rsidSect="00400B66">
      <w:type w:val="continuous"/>
      <w:pgSz w:w="11906" w:h="16838" w:code="9"/>
      <w:pgMar w:top="1418" w:right="680" w:bottom="1418" w:left="1247"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C2960" w14:textId="77777777" w:rsidR="00C15292" w:rsidRDefault="00C15292">
      <w:r>
        <w:separator/>
      </w:r>
    </w:p>
  </w:endnote>
  <w:endnote w:type="continuationSeparator" w:id="0">
    <w:p w14:paraId="520C459C" w14:textId="77777777" w:rsidR="00C15292" w:rsidRDefault="00C15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ABE0AF" w14:textId="77777777" w:rsidR="006E5B90" w:rsidRPr="00E83359" w:rsidRDefault="006E5B90">
    <w:pPr>
      <w:pStyle w:val="Fuzeile"/>
    </w:pPr>
  </w:p>
  <w:p w14:paraId="45D789BE" w14:textId="77777777" w:rsidR="006E5B90" w:rsidRPr="00E83359" w:rsidRDefault="006E5B90">
    <w:pPr>
      <w:pStyle w:val="Fuzeile"/>
    </w:pPr>
  </w:p>
  <w:p w14:paraId="78CC14B6" w14:textId="77777777" w:rsidR="006E5B90" w:rsidRPr="00E83359" w:rsidRDefault="006E5B90">
    <w:pPr>
      <w:pStyle w:val="Fuzeile"/>
    </w:pPr>
  </w:p>
  <w:p w14:paraId="48439063" w14:textId="77777777" w:rsidR="006E5B90" w:rsidRPr="00E83359" w:rsidRDefault="006E5B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777F0" w14:textId="77777777" w:rsidR="00C15292" w:rsidRDefault="00C15292">
      <w:r>
        <w:separator/>
      </w:r>
    </w:p>
  </w:footnote>
  <w:footnote w:type="continuationSeparator" w:id="0">
    <w:p w14:paraId="3C10D6D6" w14:textId="77777777" w:rsidR="00C15292" w:rsidRDefault="00C15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F901E" w14:textId="1BD5DD82" w:rsidR="006E5B90" w:rsidRPr="007F11B8" w:rsidRDefault="0099748D" w:rsidP="00403329">
    <w:pPr>
      <w:pStyle w:val="Kopfzeile"/>
      <w:rPr>
        <w:rFonts w:ascii="Tahoma" w:hAnsi="Tahoma" w:cs="Tahoma"/>
        <w:sz w:val="22"/>
        <w:szCs w:val="22"/>
      </w:rPr>
    </w:pPr>
    <w:r>
      <w:rPr>
        <w:rFonts w:ascii="Tahoma" w:hAnsi="Tahoma" w:cs="Tahoma"/>
        <w:noProof/>
        <w:sz w:val="22"/>
        <w:szCs w:val="22"/>
        <w:lang w:eastAsia="zh-CN"/>
      </w:rPr>
      <w:drawing>
        <wp:anchor distT="0" distB="0" distL="114300" distR="114300" simplePos="0" relativeHeight="251659264" behindDoc="0" locked="1" layoutInCell="1" allowOverlap="1" wp14:anchorId="684A5FA0" wp14:editId="08435E89">
          <wp:simplePos x="0" y="0"/>
          <wp:positionH relativeFrom="margin">
            <wp:posOffset>3975100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470372">
      <w:rPr>
        <w:rFonts w:ascii="Tahoma" w:hAnsi="Tahoma" w:cs="Tahoma"/>
        <w:b/>
        <w:sz w:val="40"/>
        <w:szCs w:val="40"/>
      </w:rPr>
      <w:t>Fachartikel</w:t>
    </w:r>
  </w:p>
  <w:p w14:paraId="62F8C0DD" w14:textId="77777777" w:rsidR="006E5B90" w:rsidRPr="006F5836" w:rsidRDefault="006E5B90" w:rsidP="00403329">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8C30F" w14:textId="77777777" w:rsidR="00885D9B" w:rsidRDefault="00885D9B">
    <w:pPr>
      <w:pStyle w:val="Kopfzeile"/>
    </w:pPr>
    <w:r w:rsidRPr="00EC0805">
      <w:rPr>
        <w:rFonts w:ascii="Tahoma" w:hAnsi="Tahoma" w:cs="Tahoma"/>
        <w:b/>
        <w:sz w:val="40"/>
        <w:szCs w:val="40"/>
      </w:rPr>
      <w:t>Press 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292"/>
    <w:rsid w:val="00000C01"/>
    <w:rsid w:val="00003ACB"/>
    <w:rsid w:val="000057AA"/>
    <w:rsid w:val="00021C11"/>
    <w:rsid w:val="00031570"/>
    <w:rsid w:val="00036060"/>
    <w:rsid w:val="000442A3"/>
    <w:rsid w:val="000460FB"/>
    <w:rsid w:val="00056C71"/>
    <w:rsid w:val="000602AD"/>
    <w:rsid w:val="00062A38"/>
    <w:rsid w:val="0006421A"/>
    <w:rsid w:val="000656FB"/>
    <w:rsid w:val="0007629A"/>
    <w:rsid w:val="00081310"/>
    <w:rsid w:val="000A3305"/>
    <w:rsid w:val="000A520F"/>
    <w:rsid w:val="000A679F"/>
    <w:rsid w:val="000B079A"/>
    <w:rsid w:val="000B13D6"/>
    <w:rsid w:val="000B5A8F"/>
    <w:rsid w:val="000D1CC3"/>
    <w:rsid w:val="000D2EF1"/>
    <w:rsid w:val="000D3D1D"/>
    <w:rsid w:val="000D46A0"/>
    <w:rsid w:val="000D55D8"/>
    <w:rsid w:val="000E6FF0"/>
    <w:rsid w:val="000F3117"/>
    <w:rsid w:val="000F63CB"/>
    <w:rsid w:val="0011150B"/>
    <w:rsid w:val="00113BB8"/>
    <w:rsid w:val="00120E4A"/>
    <w:rsid w:val="00121973"/>
    <w:rsid w:val="00126449"/>
    <w:rsid w:val="00130373"/>
    <w:rsid w:val="00131267"/>
    <w:rsid w:val="00135CE0"/>
    <w:rsid w:val="00143A8C"/>
    <w:rsid w:val="0014616F"/>
    <w:rsid w:val="001521BD"/>
    <w:rsid w:val="0015393A"/>
    <w:rsid w:val="00165BCA"/>
    <w:rsid w:val="001701E7"/>
    <w:rsid w:val="00170992"/>
    <w:rsid w:val="00180E8B"/>
    <w:rsid w:val="00194C54"/>
    <w:rsid w:val="00196CF7"/>
    <w:rsid w:val="001A225A"/>
    <w:rsid w:val="001A4EC0"/>
    <w:rsid w:val="001B492B"/>
    <w:rsid w:val="001B6524"/>
    <w:rsid w:val="001C2261"/>
    <w:rsid w:val="001C2E28"/>
    <w:rsid w:val="001C4790"/>
    <w:rsid w:val="001C4898"/>
    <w:rsid w:val="001C6A10"/>
    <w:rsid w:val="001D0E9C"/>
    <w:rsid w:val="001D6553"/>
    <w:rsid w:val="001D6B60"/>
    <w:rsid w:val="001E31FC"/>
    <w:rsid w:val="001F00FD"/>
    <w:rsid w:val="001F6F44"/>
    <w:rsid w:val="00201616"/>
    <w:rsid w:val="00204B27"/>
    <w:rsid w:val="0020626C"/>
    <w:rsid w:val="0020657E"/>
    <w:rsid w:val="00207FE5"/>
    <w:rsid w:val="002154F0"/>
    <w:rsid w:val="002166DE"/>
    <w:rsid w:val="00225DC0"/>
    <w:rsid w:val="002369BF"/>
    <w:rsid w:val="00247B2D"/>
    <w:rsid w:val="0025097E"/>
    <w:rsid w:val="00254BC4"/>
    <w:rsid w:val="00255D48"/>
    <w:rsid w:val="00257374"/>
    <w:rsid w:val="00270CB7"/>
    <w:rsid w:val="00274344"/>
    <w:rsid w:val="002756F1"/>
    <w:rsid w:val="00277008"/>
    <w:rsid w:val="00280B26"/>
    <w:rsid w:val="00281209"/>
    <w:rsid w:val="00281EEC"/>
    <w:rsid w:val="002851BA"/>
    <w:rsid w:val="00285BE8"/>
    <w:rsid w:val="00285BEF"/>
    <w:rsid w:val="00286E9A"/>
    <w:rsid w:val="00290999"/>
    <w:rsid w:val="0029333B"/>
    <w:rsid w:val="00293C93"/>
    <w:rsid w:val="00293E43"/>
    <w:rsid w:val="002A149B"/>
    <w:rsid w:val="002A7781"/>
    <w:rsid w:val="002B2E51"/>
    <w:rsid w:val="002B51E0"/>
    <w:rsid w:val="002B5B1A"/>
    <w:rsid w:val="002B6025"/>
    <w:rsid w:val="002B76F2"/>
    <w:rsid w:val="002C5D64"/>
    <w:rsid w:val="002C7729"/>
    <w:rsid w:val="002D4D58"/>
    <w:rsid w:val="002D6259"/>
    <w:rsid w:val="002D728B"/>
    <w:rsid w:val="002E2329"/>
    <w:rsid w:val="002E2DBA"/>
    <w:rsid w:val="002E7F6A"/>
    <w:rsid w:val="002F3A30"/>
    <w:rsid w:val="00300918"/>
    <w:rsid w:val="003021A9"/>
    <w:rsid w:val="003043C3"/>
    <w:rsid w:val="003070B2"/>
    <w:rsid w:val="00316731"/>
    <w:rsid w:val="0031738B"/>
    <w:rsid w:val="00325C87"/>
    <w:rsid w:val="00336E61"/>
    <w:rsid w:val="00340F5E"/>
    <w:rsid w:val="00341B5E"/>
    <w:rsid w:val="003439AA"/>
    <w:rsid w:val="0035779A"/>
    <w:rsid w:val="00363E5F"/>
    <w:rsid w:val="003645E1"/>
    <w:rsid w:val="003676F2"/>
    <w:rsid w:val="00377544"/>
    <w:rsid w:val="00384201"/>
    <w:rsid w:val="003859B1"/>
    <w:rsid w:val="003913A2"/>
    <w:rsid w:val="003A62AD"/>
    <w:rsid w:val="003B0457"/>
    <w:rsid w:val="003B38AF"/>
    <w:rsid w:val="003C0197"/>
    <w:rsid w:val="003C054B"/>
    <w:rsid w:val="003C06DC"/>
    <w:rsid w:val="003C39B0"/>
    <w:rsid w:val="003C68A5"/>
    <w:rsid w:val="003D1FF6"/>
    <w:rsid w:val="003D221B"/>
    <w:rsid w:val="003F18C9"/>
    <w:rsid w:val="003F6A6C"/>
    <w:rsid w:val="00400B66"/>
    <w:rsid w:val="00401EBA"/>
    <w:rsid w:val="00403329"/>
    <w:rsid w:val="0040401A"/>
    <w:rsid w:val="00405F17"/>
    <w:rsid w:val="004161DD"/>
    <w:rsid w:val="00426A7C"/>
    <w:rsid w:val="004278ED"/>
    <w:rsid w:val="00431EB6"/>
    <w:rsid w:val="00434055"/>
    <w:rsid w:val="00441605"/>
    <w:rsid w:val="004479D0"/>
    <w:rsid w:val="004538D6"/>
    <w:rsid w:val="00463ED4"/>
    <w:rsid w:val="00465E4F"/>
    <w:rsid w:val="00470372"/>
    <w:rsid w:val="00483A02"/>
    <w:rsid w:val="00487195"/>
    <w:rsid w:val="00490452"/>
    <w:rsid w:val="004942BA"/>
    <w:rsid w:val="00495749"/>
    <w:rsid w:val="00495B8D"/>
    <w:rsid w:val="004A2361"/>
    <w:rsid w:val="004A4C3E"/>
    <w:rsid w:val="004D302B"/>
    <w:rsid w:val="004D3F22"/>
    <w:rsid w:val="004E212A"/>
    <w:rsid w:val="004E3397"/>
    <w:rsid w:val="004E3B36"/>
    <w:rsid w:val="004F3C16"/>
    <w:rsid w:val="00503E74"/>
    <w:rsid w:val="0050749B"/>
    <w:rsid w:val="00521B21"/>
    <w:rsid w:val="00522CE7"/>
    <w:rsid w:val="0052420D"/>
    <w:rsid w:val="005254BE"/>
    <w:rsid w:val="005254C7"/>
    <w:rsid w:val="00533135"/>
    <w:rsid w:val="00541476"/>
    <w:rsid w:val="00551E05"/>
    <w:rsid w:val="00553EA6"/>
    <w:rsid w:val="00562925"/>
    <w:rsid w:val="005710DA"/>
    <w:rsid w:val="005742EC"/>
    <w:rsid w:val="0058108C"/>
    <w:rsid w:val="005852CB"/>
    <w:rsid w:val="005A1070"/>
    <w:rsid w:val="005A1978"/>
    <w:rsid w:val="005A26A6"/>
    <w:rsid w:val="005A4C62"/>
    <w:rsid w:val="005B2638"/>
    <w:rsid w:val="005B502E"/>
    <w:rsid w:val="005C0D40"/>
    <w:rsid w:val="005C3FE9"/>
    <w:rsid w:val="005D25A9"/>
    <w:rsid w:val="005D3A68"/>
    <w:rsid w:val="005D6A3E"/>
    <w:rsid w:val="005D7B5A"/>
    <w:rsid w:val="005E09B0"/>
    <w:rsid w:val="005E6EAA"/>
    <w:rsid w:val="005F136A"/>
    <w:rsid w:val="005F2B9C"/>
    <w:rsid w:val="005F35F5"/>
    <w:rsid w:val="005F633B"/>
    <w:rsid w:val="005F76ED"/>
    <w:rsid w:val="006068EA"/>
    <w:rsid w:val="00607BE2"/>
    <w:rsid w:val="006112C8"/>
    <w:rsid w:val="0061383F"/>
    <w:rsid w:val="00613A2A"/>
    <w:rsid w:val="006179AE"/>
    <w:rsid w:val="00623FFA"/>
    <w:rsid w:val="00634F8A"/>
    <w:rsid w:val="00642C7B"/>
    <w:rsid w:val="00644126"/>
    <w:rsid w:val="00651E0C"/>
    <w:rsid w:val="00652EF9"/>
    <w:rsid w:val="0066668A"/>
    <w:rsid w:val="00667AFE"/>
    <w:rsid w:val="00672604"/>
    <w:rsid w:val="00672FF0"/>
    <w:rsid w:val="0067473B"/>
    <w:rsid w:val="0067707E"/>
    <w:rsid w:val="00681E94"/>
    <w:rsid w:val="00682408"/>
    <w:rsid w:val="00682A00"/>
    <w:rsid w:val="006910C6"/>
    <w:rsid w:val="00692555"/>
    <w:rsid w:val="00693DDB"/>
    <w:rsid w:val="006950B6"/>
    <w:rsid w:val="006970DD"/>
    <w:rsid w:val="006971C9"/>
    <w:rsid w:val="006A77A7"/>
    <w:rsid w:val="006B43C0"/>
    <w:rsid w:val="006C1515"/>
    <w:rsid w:val="006C29CE"/>
    <w:rsid w:val="006C4FCD"/>
    <w:rsid w:val="006E0B38"/>
    <w:rsid w:val="006E3652"/>
    <w:rsid w:val="006E5B90"/>
    <w:rsid w:val="006E6480"/>
    <w:rsid w:val="006F3880"/>
    <w:rsid w:val="006F5836"/>
    <w:rsid w:val="007109D3"/>
    <w:rsid w:val="00713600"/>
    <w:rsid w:val="007157E4"/>
    <w:rsid w:val="00716976"/>
    <w:rsid w:val="00720085"/>
    <w:rsid w:val="007209B4"/>
    <w:rsid w:val="007211A8"/>
    <w:rsid w:val="007267DC"/>
    <w:rsid w:val="007334EF"/>
    <w:rsid w:val="00736515"/>
    <w:rsid w:val="00737598"/>
    <w:rsid w:val="00740325"/>
    <w:rsid w:val="007409FC"/>
    <w:rsid w:val="00742FC6"/>
    <w:rsid w:val="007456C2"/>
    <w:rsid w:val="00750877"/>
    <w:rsid w:val="00760B81"/>
    <w:rsid w:val="007658F5"/>
    <w:rsid w:val="0076673E"/>
    <w:rsid w:val="00772550"/>
    <w:rsid w:val="0077798C"/>
    <w:rsid w:val="007849D7"/>
    <w:rsid w:val="007857E4"/>
    <w:rsid w:val="0079268C"/>
    <w:rsid w:val="00796BF0"/>
    <w:rsid w:val="007A3837"/>
    <w:rsid w:val="007B4637"/>
    <w:rsid w:val="007C5021"/>
    <w:rsid w:val="007D0D4F"/>
    <w:rsid w:val="007D69C0"/>
    <w:rsid w:val="007D786C"/>
    <w:rsid w:val="007F11B8"/>
    <w:rsid w:val="007F2695"/>
    <w:rsid w:val="00802B96"/>
    <w:rsid w:val="00803EE1"/>
    <w:rsid w:val="00805832"/>
    <w:rsid w:val="00813BEC"/>
    <w:rsid w:val="00820B5A"/>
    <w:rsid w:val="00822082"/>
    <w:rsid w:val="00824D65"/>
    <w:rsid w:val="008250FA"/>
    <w:rsid w:val="00825475"/>
    <w:rsid w:val="008351C2"/>
    <w:rsid w:val="008361ED"/>
    <w:rsid w:val="00837958"/>
    <w:rsid w:val="00841867"/>
    <w:rsid w:val="00843CB6"/>
    <w:rsid w:val="00847907"/>
    <w:rsid w:val="008537B6"/>
    <w:rsid w:val="008553D0"/>
    <w:rsid w:val="008568B2"/>
    <w:rsid w:val="008728A6"/>
    <w:rsid w:val="00874A85"/>
    <w:rsid w:val="00880631"/>
    <w:rsid w:val="008853E1"/>
    <w:rsid w:val="00885D9B"/>
    <w:rsid w:val="0089292C"/>
    <w:rsid w:val="00892BC7"/>
    <w:rsid w:val="00893828"/>
    <w:rsid w:val="0089571E"/>
    <w:rsid w:val="008973E4"/>
    <w:rsid w:val="00897DED"/>
    <w:rsid w:val="008A0781"/>
    <w:rsid w:val="008A140E"/>
    <w:rsid w:val="008A3723"/>
    <w:rsid w:val="008A588A"/>
    <w:rsid w:val="008B4FBE"/>
    <w:rsid w:val="008B6BD0"/>
    <w:rsid w:val="008C79A3"/>
    <w:rsid w:val="008E12C3"/>
    <w:rsid w:val="008E176B"/>
    <w:rsid w:val="008F0C82"/>
    <w:rsid w:val="00910C8D"/>
    <w:rsid w:val="009122FA"/>
    <w:rsid w:val="009218BD"/>
    <w:rsid w:val="00936833"/>
    <w:rsid w:val="0094068A"/>
    <w:rsid w:val="00946C34"/>
    <w:rsid w:val="0095104E"/>
    <w:rsid w:val="00951247"/>
    <w:rsid w:val="00964D41"/>
    <w:rsid w:val="00965576"/>
    <w:rsid w:val="009677BE"/>
    <w:rsid w:val="00967F74"/>
    <w:rsid w:val="009710BC"/>
    <w:rsid w:val="00974B4B"/>
    <w:rsid w:val="009754AF"/>
    <w:rsid w:val="009754FB"/>
    <w:rsid w:val="00975F6A"/>
    <w:rsid w:val="00977728"/>
    <w:rsid w:val="00980560"/>
    <w:rsid w:val="009819C4"/>
    <w:rsid w:val="00985C1B"/>
    <w:rsid w:val="00986A35"/>
    <w:rsid w:val="0099748D"/>
    <w:rsid w:val="0099797B"/>
    <w:rsid w:val="009A055E"/>
    <w:rsid w:val="009A567E"/>
    <w:rsid w:val="009A7EB5"/>
    <w:rsid w:val="009B2064"/>
    <w:rsid w:val="009C3722"/>
    <w:rsid w:val="009E0503"/>
    <w:rsid w:val="009E3618"/>
    <w:rsid w:val="009E6294"/>
    <w:rsid w:val="009F3237"/>
    <w:rsid w:val="009F503D"/>
    <w:rsid w:val="009F5E22"/>
    <w:rsid w:val="00A00910"/>
    <w:rsid w:val="00A03BE6"/>
    <w:rsid w:val="00A04A46"/>
    <w:rsid w:val="00A061EF"/>
    <w:rsid w:val="00A10BE6"/>
    <w:rsid w:val="00A16D4A"/>
    <w:rsid w:val="00A20412"/>
    <w:rsid w:val="00A20757"/>
    <w:rsid w:val="00A21563"/>
    <w:rsid w:val="00A3438B"/>
    <w:rsid w:val="00A451EF"/>
    <w:rsid w:val="00A4538B"/>
    <w:rsid w:val="00A46C9B"/>
    <w:rsid w:val="00A475A8"/>
    <w:rsid w:val="00A47887"/>
    <w:rsid w:val="00A47A06"/>
    <w:rsid w:val="00A50406"/>
    <w:rsid w:val="00A509C2"/>
    <w:rsid w:val="00A55378"/>
    <w:rsid w:val="00A65067"/>
    <w:rsid w:val="00A74F39"/>
    <w:rsid w:val="00A76EB2"/>
    <w:rsid w:val="00A90E6F"/>
    <w:rsid w:val="00A913C9"/>
    <w:rsid w:val="00AA01CF"/>
    <w:rsid w:val="00AA08D0"/>
    <w:rsid w:val="00AA42A8"/>
    <w:rsid w:val="00AB2D30"/>
    <w:rsid w:val="00AC38AC"/>
    <w:rsid w:val="00AC6C6B"/>
    <w:rsid w:val="00AD6775"/>
    <w:rsid w:val="00AE523B"/>
    <w:rsid w:val="00AF0D77"/>
    <w:rsid w:val="00AF3AEB"/>
    <w:rsid w:val="00B0169B"/>
    <w:rsid w:val="00B13200"/>
    <w:rsid w:val="00B1384A"/>
    <w:rsid w:val="00B24771"/>
    <w:rsid w:val="00B26433"/>
    <w:rsid w:val="00B30630"/>
    <w:rsid w:val="00B350F6"/>
    <w:rsid w:val="00B542F3"/>
    <w:rsid w:val="00B55E7E"/>
    <w:rsid w:val="00B56124"/>
    <w:rsid w:val="00B57D87"/>
    <w:rsid w:val="00B61076"/>
    <w:rsid w:val="00B617FC"/>
    <w:rsid w:val="00B63BD2"/>
    <w:rsid w:val="00B66E1F"/>
    <w:rsid w:val="00B70B10"/>
    <w:rsid w:val="00B92541"/>
    <w:rsid w:val="00B930AF"/>
    <w:rsid w:val="00B94B8E"/>
    <w:rsid w:val="00BA0DB7"/>
    <w:rsid w:val="00BB4127"/>
    <w:rsid w:val="00BC2D0E"/>
    <w:rsid w:val="00BC4173"/>
    <w:rsid w:val="00BC7885"/>
    <w:rsid w:val="00BD1592"/>
    <w:rsid w:val="00BD3E38"/>
    <w:rsid w:val="00BE361C"/>
    <w:rsid w:val="00BE6E02"/>
    <w:rsid w:val="00BF1C35"/>
    <w:rsid w:val="00BF44D3"/>
    <w:rsid w:val="00BF7A9E"/>
    <w:rsid w:val="00C003C6"/>
    <w:rsid w:val="00C0678F"/>
    <w:rsid w:val="00C15292"/>
    <w:rsid w:val="00C16125"/>
    <w:rsid w:val="00C1687D"/>
    <w:rsid w:val="00C16E68"/>
    <w:rsid w:val="00C17300"/>
    <w:rsid w:val="00C23D1F"/>
    <w:rsid w:val="00C24B53"/>
    <w:rsid w:val="00C30020"/>
    <w:rsid w:val="00C302D1"/>
    <w:rsid w:val="00C30524"/>
    <w:rsid w:val="00C30C9B"/>
    <w:rsid w:val="00C31F50"/>
    <w:rsid w:val="00C348D8"/>
    <w:rsid w:val="00C46FF4"/>
    <w:rsid w:val="00C50BA2"/>
    <w:rsid w:val="00C52374"/>
    <w:rsid w:val="00C56941"/>
    <w:rsid w:val="00C63837"/>
    <w:rsid w:val="00C7630D"/>
    <w:rsid w:val="00C85A5B"/>
    <w:rsid w:val="00C878B8"/>
    <w:rsid w:val="00C95629"/>
    <w:rsid w:val="00C96CE8"/>
    <w:rsid w:val="00CA0260"/>
    <w:rsid w:val="00CA3BFA"/>
    <w:rsid w:val="00CB20CA"/>
    <w:rsid w:val="00CB52A7"/>
    <w:rsid w:val="00CB5388"/>
    <w:rsid w:val="00CB7BC3"/>
    <w:rsid w:val="00CC2CD9"/>
    <w:rsid w:val="00CD14A9"/>
    <w:rsid w:val="00CD3C95"/>
    <w:rsid w:val="00CE6546"/>
    <w:rsid w:val="00CF2991"/>
    <w:rsid w:val="00CF3746"/>
    <w:rsid w:val="00CF6E92"/>
    <w:rsid w:val="00D03591"/>
    <w:rsid w:val="00D12F1A"/>
    <w:rsid w:val="00D14EC2"/>
    <w:rsid w:val="00D17765"/>
    <w:rsid w:val="00D2166D"/>
    <w:rsid w:val="00D22FC9"/>
    <w:rsid w:val="00D343CD"/>
    <w:rsid w:val="00D432BE"/>
    <w:rsid w:val="00D52A6D"/>
    <w:rsid w:val="00D52C82"/>
    <w:rsid w:val="00D57C6B"/>
    <w:rsid w:val="00D80AA5"/>
    <w:rsid w:val="00D83955"/>
    <w:rsid w:val="00D86583"/>
    <w:rsid w:val="00D86D69"/>
    <w:rsid w:val="00D91EC7"/>
    <w:rsid w:val="00D9247D"/>
    <w:rsid w:val="00D934EA"/>
    <w:rsid w:val="00D97B59"/>
    <w:rsid w:val="00DA10B9"/>
    <w:rsid w:val="00DA45C5"/>
    <w:rsid w:val="00DA48B4"/>
    <w:rsid w:val="00DB316D"/>
    <w:rsid w:val="00DC2D1D"/>
    <w:rsid w:val="00DC426C"/>
    <w:rsid w:val="00DC53AE"/>
    <w:rsid w:val="00DD2BA8"/>
    <w:rsid w:val="00DD4652"/>
    <w:rsid w:val="00DD78E5"/>
    <w:rsid w:val="00DE4F57"/>
    <w:rsid w:val="00DF1483"/>
    <w:rsid w:val="00DF36A5"/>
    <w:rsid w:val="00DF4B6A"/>
    <w:rsid w:val="00DF4D5E"/>
    <w:rsid w:val="00E00478"/>
    <w:rsid w:val="00E032D9"/>
    <w:rsid w:val="00E24A2E"/>
    <w:rsid w:val="00E27D42"/>
    <w:rsid w:val="00E30B10"/>
    <w:rsid w:val="00E313A9"/>
    <w:rsid w:val="00E34A20"/>
    <w:rsid w:val="00E351C1"/>
    <w:rsid w:val="00E44FEE"/>
    <w:rsid w:val="00E5077E"/>
    <w:rsid w:val="00E542C8"/>
    <w:rsid w:val="00E604D2"/>
    <w:rsid w:val="00E63021"/>
    <w:rsid w:val="00E67BB4"/>
    <w:rsid w:val="00E70D2B"/>
    <w:rsid w:val="00E83359"/>
    <w:rsid w:val="00E86E0B"/>
    <w:rsid w:val="00E87E0A"/>
    <w:rsid w:val="00E911FA"/>
    <w:rsid w:val="00E925A2"/>
    <w:rsid w:val="00E97244"/>
    <w:rsid w:val="00EA0E88"/>
    <w:rsid w:val="00EA54FA"/>
    <w:rsid w:val="00EB4DE5"/>
    <w:rsid w:val="00ED0ACC"/>
    <w:rsid w:val="00ED742E"/>
    <w:rsid w:val="00ED7B23"/>
    <w:rsid w:val="00EE2C0B"/>
    <w:rsid w:val="00EF206D"/>
    <w:rsid w:val="00EF21CD"/>
    <w:rsid w:val="00F01919"/>
    <w:rsid w:val="00F01E19"/>
    <w:rsid w:val="00F02358"/>
    <w:rsid w:val="00F03542"/>
    <w:rsid w:val="00F0769F"/>
    <w:rsid w:val="00F10226"/>
    <w:rsid w:val="00F10CF9"/>
    <w:rsid w:val="00F111E6"/>
    <w:rsid w:val="00F13C15"/>
    <w:rsid w:val="00F16387"/>
    <w:rsid w:val="00F21E31"/>
    <w:rsid w:val="00F275A0"/>
    <w:rsid w:val="00F35A8C"/>
    <w:rsid w:val="00F41B20"/>
    <w:rsid w:val="00F525E8"/>
    <w:rsid w:val="00F56533"/>
    <w:rsid w:val="00F57670"/>
    <w:rsid w:val="00F577CF"/>
    <w:rsid w:val="00F63C06"/>
    <w:rsid w:val="00F65963"/>
    <w:rsid w:val="00F728E1"/>
    <w:rsid w:val="00F77B4A"/>
    <w:rsid w:val="00F804B7"/>
    <w:rsid w:val="00F84B8B"/>
    <w:rsid w:val="00F903E7"/>
    <w:rsid w:val="00F93363"/>
    <w:rsid w:val="00F94AD5"/>
    <w:rsid w:val="00F95263"/>
    <w:rsid w:val="00FA0D67"/>
    <w:rsid w:val="00FA492A"/>
    <w:rsid w:val="00FA7E60"/>
    <w:rsid w:val="00FC0871"/>
    <w:rsid w:val="00FC1E79"/>
    <w:rsid w:val="00FC33A0"/>
    <w:rsid w:val="00FC450B"/>
    <w:rsid w:val="00FC57B3"/>
    <w:rsid w:val="00FD43E5"/>
    <w:rsid w:val="00FD5C4E"/>
    <w:rsid w:val="00FD64FC"/>
    <w:rsid w:val="00FE67AC"/>
    <w:rsid w:val="00FF2123"/>
    <w:rsid w:val="00FF23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F8F6C4"/>
  <w15:docId w15:val="{1DDA79D7-E354-48C8-A366-329392DE3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67DC"/>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63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customStyle="1" w:styleId="KopfzeileZchn">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character" w:styleId="NichtaufgelsteErwhnung">
    <w:name w:val="Unresolved Mention"/>
    <w:basedOn w:val="Absatz-Standardschriftart"/>
    <w:uiPriority w:val="99"/>
    <w:semiHidden/>
    <w:unhideWhenUsed/>
    <w:rsid w:val="00D9247D"/>
    <w:rPr>
      <w:color w:val="605E5C"/>
      <w:shd w:val="clear" w:color="auto" w:fill="E1DFDD"/>
    </w:rPr>
  </w:style>
  <w:style w:type="paragraph" w:styleId="Beschriftung">
    <w:name w:val="caption"/>
    <w:basedOn w:val="Standard"/>
    <w:next w:val="Standard"/>
    <w:uiPriority w:val="35"/>
    <w:unhideWhenUsed/>
    <w:qFormat/>
    <w:rsid w:val="00F41B20"/>
    <w:pPr>
      <w:spacing w:after="200"/>
    </w:pPr>
    <w:rPr>
      <w:rFonts w:asciiTheme="minorHAnsi" w:eastAsiaTheme="minorEastAsia" w:hAnsiTheme="minorHAnsi" w:cstheme="minorBidi"/>
      <w:i/>
      <w:iCs/>
      <w:color w:val="1F497D" w:themeColor="text2"/>
      <w:kern w:val="2"/>
      <w:sz w:val="18"/>
      <w:szCs w:val="18"/>
      <w:lang w:eastAsia="zh-CN"/>
      <w14:ligatures w14:val="standardContextual"/>
    </w:rPr>
  </w:style>
  <w:style w:type="paragraph" w:styleId="berarbeitung">
    <w:name w:val="Revision"/>
    <w:hidden/>
    <w:uiPriority w:val="99"/>
    <w:semiHidden/>
    <w:rsid w:val="003D1FF6"/>
    <w:rPr>
      <w:sz w:val="24"/>
      <w:lang w:eastAsia="de-DE"/>
    </w:rPr>
  </w:style>
  <w:style w:type="character" w:styleId="Kommentarzeichen">
    <w:name w:val="annotation reference"/>
    <w:basedOn w:val="Absatz-Standardschriftart"/>
    <w:uiPriority w:val="99"/>
    <w:semiHidden/>
    <w:unhideWhenUsed/>
    <w:rsid w:val="00FD64FC"/>
    <w:rPr>
      <w:sz w:val="16"/>
      <w:szCs w:val="16"/>
    </w:rPr>
  </w:style>
  <w:style w:type="paragraph" w:styleId="Kommentartext">
    <w:name w:val="annotation text"/>
    <w:basedOn w:val="Standard"/>
    <w:link w:val="KommentartextZchn"/>
    <w:uiPriority w:val="99"/>
    <w:unhideWhenUsed/>
    <w:rsid w:val="00FD64FC"/>
    <w:rPr>
      <w:sz w:val="20"/>
    </w:rPr>
  </w:style>
  <w:style w:type="character" w:customStyle="1" w:styleId="KommentartextZchn">
    <w:name w:val="Kommentartext Zchn"/>
    <w:basedOn w:val="Absatz-Standardschriftart"/>
    <w:link w:val="Kommentartext"/>
    <w:uiPriority w:val="99"/>
    <w:rsid w:val="00FD64FC"/>
    <w:rPr>
      <w:lang w:eastAsia="de-DE"/>
    </w:rPr>
  </w:style>
  <w:style w:type="paragraph" w:styleId="Kommentarthema">
    <w:name w:val="annotation subject"/>
    <w:basedOn w:val="Kommentartext"/>
    <w:next w:val="Kommentartext"/>
    <w:link w:val="KommentarthemaZchn"/>
    <w:uiPriority w:val="99"/>
    <w:semiHidden/>
    <w:unhideWhenUsed/>
    <w:rsid w:val="00FD64FC"/>
    <w:rPr>
      <w:b/>
      <w:bCs/>
    </w:rPr>
  </w:style>
  <w:style w:type="character" w:customStyle="1" w:styleId="KommentarthemaZchn">
    <w:name w:val="Kommentarthema Zchn"/>
    <w:basedOn w:val="KommentartextZchn"/>
    <w:link w:val="Kommentarthema"/>
    <w:uiPriority w:val="99"/>
    <w:semiHidden/>
    <w:rsid w:val="00FD64FC"/>
    <w:rPr>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590742258">
      <w:bodyDiv w:val="1"/>
      <w:marLeft w:val="0"/>
      <w:marRight w:val="0"/>
      <w:marTop w:val="0"/>
      <w:marBottom w:val="0"/>
      <w:divBdr>
        <w:top w:val="none" w:sz="0" w:space="0" w:color="auto"/>
        <w:left w:val="none" w:sz="0" w:space="0" w:color="auto"/>
        <w:bottom w:val="none" w:sz="0" w:space="0" w:color="auto"/>
        <w:right w:val="none" w:sz="0" w:space="0" w:color="auto"/>
      </w:divBdr>
    </w:div>
    <w:div w:id="599610621">
      <w:bodyDiv w:val="1"/>
      <w:marLeft w:val="0"/>
      <w:marRight w:val="0"/>
      <w:marTop w:val="0"/>
      <w:marBottom w:val="0"/>
      <w:divBdr>
        <w:top w:val="none" w:sz="0" w:space="0" w:color="auto"/>
        <w:left w:val="none" w:sz="0" w:space="0" w:color="auto"/>
        <w:bottom w:val="none" w:sz="0" w:space="0" w:color="auto"/>
        <w:right w:val="none" w:sz="0" w:space="0" w:color="auto"/>
      </w:divBdr>
    </w:div>
    <w:div w:id="1066413536">
      <w:bodyDiv w:val="1"/>
      <w:marLeft w:val="0"/>
      <w:marRight w:val="0"/>
      <w:marTop w:val="0"/>
      <w:marBottom w:val="0"/>
      <w:divBdr>
        <w:top w:val="none" w:sz="0" w:space="0" w:color="auto"/>
        <w:left w:val="none" w:sz="0" w:space="0" w:color="auto"/>
        <w:bottom w:val="none" w:sz="0" w:space="0" w:color="auto"/>
        <w:right w:val="none" w:sz="0" w:space="0" w:color="auto"/>
      </w:divBdr>
    </w:div>
    <w:div w:id="206644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itzer.d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984389B2DDE4B398A14BBBAB54BB9D1"/>
        <w:category>
          <w:name w:val="Allgemein"/>
          <w:gallery w:val="placeholder"/>
        </w:category>
        <w:types>
          <w:type w:val="bbPlcHdr"/>
        </w:types>
        <w:behaviors>
          <w:behavior w:val="content"/>
        </w:behaviors>
        <w:guid w:val="{061B2CE6-FC56-4332-9A4A-E46218116802}"/>
      </w:docPartPr>
      <w:docPartBody>
        <w:p w:rsidR="00400C27" w:rsidRDefault="00400C27">
          <w:pPr>
            <w:pStyle w:val="A984389B2DDE4B398A14BBBAB54BB9D1"/>
          </w:pPr>
          <w:r w:rsidRPr="006654DF">
            <w:rPr>
              <w:rStyle w:val="Platzhaltertext"/>
            </w:rPr>
            <w:t>Klicken oder tippen Sie hier, um Text einzugeben.</w:t>
          </w:r>
        </w:p>
      </w:docPartBody>
    </w:docPart>
    <w:docPart>
      <w:docPartPr>
        <w:name w:val="AD83FB56EECF48588C5E656C9E7A327C"/>
        <w:category>
          <w:name w:val="Allgemein"/>
          <w:gallery w:val="placeholder"/>
        </w:category>
        <w:types>
          <w:type w:val="bbPlcHdr"/>
        </w:types>
        <w:behaviors>
          <w:behavior w:val="content"/>
        </w:behaviors>
        <w:guid w:val="{343C2ECC-D8F7-4C22-805F-4A58A8D5A698}"/>
      </w:docPartPr>
      <w:docPartBody>
        <w:p w:rsidR="00400C27" w:rsidRDefault="00400C27">
          <w:pPr>
            <w:pStyle w:val="AD83FB56EECF48588C5E656C9E7A327C"/>
          </w:pPr>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C27"/>
    <w:rsid w:val="00165BCA"/>
    <w:rsid w:val="00277008"/>
    <w:rsid w:val="00341B5E"/>
    <w:rsid w:val="00400C27"/>
    <w:rsid w:val="004479D0"/>
    <w:rsid w:val="005F35F5"/>
    <w:rsid w:val="008973E4"/>
    <w:rsid w:val="00A76EB2"/>
    <w:rsid w:val="00BC4173"/>
    <w:rsid w:val="00C23D1F"/>
    <w:rsid w:val="00CD14A9"/>
    <w:rsid w:val="00D12337"/>
    <w:rsid w:val="00F84B8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A984389B2DDE4B398A14BBBAB54BB9D1">
    <w:name w:val="A984389B2DDE4B398A14BBBAB54BB9D1"/>
  </w:style>
  <w:style w:type="paragraph" w:customStyle="1" w:styleId="AD83FB56EECF48588C5E656C9E7A327C">
    <w:name w:val="AD83FB56EECF48588C5E656C9E7A32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F2B7E-1226-4FA3-A068-B564A9C1C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1024</Words>
  <Characters>7240</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Ihr Zeichen</vt:lpstr>
      <vt:lpstr>Ihr Zeichen</vt:lpstr>
    </vt:vector>
  </TitlesOfParts>
  <Company>Ritter</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Ihr Zeichen</dc:title>
  <dc:subject/>
  <dc:creator>Konopka, Carina</dc:creator>
  <cp:keywords/>
  <cp:lastModifiedBy>Konopka, Carina</cp:lastModifiedBy>
  <cp:revision>6</cp:revision>
  <cp:lastPrinted>2019-07-05T12:24:00Z</cp:lastPrinted>
  <dcterms:created xsi:type="dcterms:W3CDTF">2025-04-15T06:48:00Z</dcterms:created>
  <dcterms:modified xsi:type="dcterms:W3CDTF">2025-05-12T08:49:00Z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ies>
</file>